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14424" w14:textId="569A3878" w:rsidR="00CB0A5E" w:rsidRPr="00B1738B" w:rsidRDefault="00A85337" w:rsidP="00A85337">
      <w:pPr>
        <w:keepNext/>
        <w:tabs>
          <w:tab w:val="left" w:pos="284"/>
        </w:tabs>
        <w:spacing w:before="40" w:after="0" w:line="240" w:lineRule="auto"/>
        <w:jc w:val="center"/>
        <w:outlineLvl w:val="2"/>
        <w:rPr>
          <w:rFonts w:ascii="Times New Roman" w:eastAsia="Times New Roman" w:hAnsi="Times New Roman" w:cs="Times New Roman"/>
          <w:b/>
          <w:w w:val="90"/>
          <w:sz w:val="30"/>
          <w:szCs w:val="20"/>
          <w:lang w:eastAsia="hu-HU"/>
        </w:rPr>
      </w:pPr>
      <w:bookmarkStart w:id="0" w:name="_Toc1568845"/>
      <w:r>
        <w:rPr>
          <w:noProof/>
        </w:rPr>
        <w:drawing>
          <wp:inline distT="0" distB="0" distL="0" distR="0" wp14:anchorId="26480825" wp14:editId="346D4291">
            <wp:extent cx="1531620" cy="387970"/>
            <wp:effectExtent l="0" t="0" r="0" b="0"/>
            <wp:docPr id="1141004196" name="Kép 1141004196" descr="A képen fekete, sötétsé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04196" name="Kép 1141004196" descr="A képen fekete, sötétség látható&#10;&#10;Automatikusan generált leírá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590" cy="394042"/>
                    </a:xfrm>
                    <a:prstGeom prst="rect">
                      <a:avLst/>
                    </a:prstGeom>
                    <a:noFill/>
                    <a:ln>
                      <a:noFill/>
                    </a:ln>
                  </pic:spPr>
                </pic:pic>
              </a:graphicData>
            </a:graphic>
          </wp:inline>
        </w:drawing>
      </w:r>
    </w:p>
    <w:p w14:paraId="1B7FF40B" w14:textId="77777777" w:rsidR="00CB0A5E" w:rsidRPr="00B1738B" w:rsidRDefault="00CB0A5E" w:rsidP="00EC10C5">
      <w:pPr>
        <w:keepNext/>
        <w:tabs>
          <w:tab w:val="left" w:pos="284"/>
        </w:tabs>
        <w:spacing w:before="40" w:after="0" w:line="240" w:lineRule="auto"/>
        <w:jc w:val="center"/>
        <w:outlineLvl w:val="2"/>
        <w:rPr>
          <w:rFonts w:ascii="Times New Roman" w:eastAsia="Times New Roman" w:hAnsi="Times New Roman" w:cs="Times New Roman"/>
          <w:b/>
          <w:w w:val="90"/>
          <w:sz w:val="30"/>
          <w:szCs w:val="20"/>
          <w:lang w:eastAsia="hu-HU"/>
        </w:rPr>
      </w:pPr>
    </w:p>
    <w:p w14:paraId="16C2111B" w14:textId="77777777" w:rsidR="00CB0A5E" w:rsidRPr="00B1738B" w:rsidRDefault="00CB0A5E" w:rsidP="00EC10C5">
      <w:pPr>
        <w:keepNext/>
        <w:tabs>
          <w:tab w:val="left" w:pos="284"/>
        </w:tabs>
        <w:spacing w:before="40" w:after="0" w:line="240" w:lineRule="auto"/>
        <w:jc w:val="center"/>
        <w:outlineLvl w:val="2"/>
        <w:rPr>
          <w:rFonts w:ascii="Times New Roman" w:eastAsia="Times New Roman" w:hAnsi="Times New Roman" w:cs="Times New Roman"/>
          <w:b/>
          <w:w w:val="90"/>
          <w:sz w:val="30"/>
          <w:szCs w:val="20"/>
          <w:lang w:eastAsia="hu-HU"/>
        </w:rPr>
      </w:pPr>
    </w:p>
    <w:p w14:paraId="2E16FABF" w14:textId="77777777" w:rsidR="00CB0A5E" w:rsidRPr="009F770B" w:rsidRDefault="00CB0A5E" w:rsidP="00EC10C5">
      <w:pPr>
        <w:jc w:val="center"/>
        <w:rPr>
          <w:rFonts w:ascii="Times New Roman" w:eastAsiaTheme="majorEastAsia" w:hAnsi="Times New Roman" w:cs="Times New Roman"/>
          <w:b/>
          <w:sz w:val="32"/>
          <w:szCs w:val="32"/>
        </w:rPr>
      </w:pPr>
      <w:bookmarkStart w:id="1" w:name="_Toc536032228"/>
      <w:bookmarkStart w:id="2" w:name="_Toc17643049"/>
      <w:bookmarkStart w:id="3" w:name="_Toc18092022"/>
      <w:r w:rsidRPr="009F770B">
        <w:rPr>
          <w:rFonts w:ascii="Times New Roman" w:eastAsiaTheme="majorEastAsia" w:hAnsi="Times New Roman" w:cs="Times New Roman"/>
          <w:b/>
          <w:sz w:val="32"/>
          <w:szCs w:val="32"/>
        </w:rPr>
        <w:t>Eötvös Loránd Tudományegyetem</w:t>
      </w:r>
      <w:bookmarkEnd w:id="1"/>
      <w:bookmarkEnd w:id="2"/>
      <w:bookmarkEnd w:id="3"/>
    </w:p>
    <w:p w14:paraId="429E453B" w14:textId="77777777" w:rsidR="00CB0A5E" w:rsidRPr="009F770B" w:rsidRDefault="00CB0A5E" w:rsidP="00EC10C5">
      <w:pPr>
        <w:jc w:val="center"/>
        <w:rPr>
          <w:rFonts w:ascii="Times New Roman" w:eastAsiaTheme="majorEastAsia" w:hAnsi="Times New Roman" w:cs="Times New Roman"/>
          <w:b/>
          <w:sz w:val="32"/>
          <w:szCs w:val="32"/>
        </w:rPr>
      </w:pPr>
      <w:r w:rsidRPr="009F770B">
        <w:rPr>
          <w:rFonts w:ascii="Times New Roman" w:eastAsiaTheme="majorEastAsia" w:hAnsi="Times New Roman" w:cs="Times New Roman"/>
          <w:b/>
          <w:sz w:val="32"/>
          <w:szCs w:val="32"/>
        </w:rPr>
        <w:t>Gazdálkodástudományi Intézet</w:t>
      </w:r>
    </w:p>
    <w:p w14:paraId="4CD2CC16" w14:textId="77777777" w:rsidR="00CB0A5E" w:rsidRDefault="00CB0A5E" w:rsidP="00EC10C5">
      <w:pPr>
        <w:spacing w:before="40" w:after="0" w:line="240" w:lineRule="auto"/>
        <w:jc w:val="center"/>
        <w:rPr>
          <w:rFonts w:ascii="Times New Roman" w:eastAsia="Times New Roman" w:hAnsi="Times New Roman" w:cs="Times New Roman"/>
          <w:b/>
          <w:sz w:val="30"/>
          <w:szCs w:val="20"/>
          <w:lang w:eastAsia="hu-HU"/>
        </w:rPr>
      </w:pPr>
    </w:p>
    <w:p w14:paraId="4DEC5829" w14:textId="77777777" w:rsidR="00CB0A5E" w:rsidRPr="00B1738B" w:rsidRDefault="00CB0A5E" w:rsidP="00EC10C5">
      <w:pPr>
        <w:spacing w:before="40" w:after="0" w:line="240" w:lineRule="auto"/>
        <w:jc w:val="center"/>
        <w:rPr>
          <w:rFonts w:ascii="Times New Roman" w:eastAsia="Times New Roman" w:hAnsi="Times New Roman" w:cs="Times New Roman"/>
          <w:b/>
          <w:sz w:val="30"/>
          <w:szCs w:val="20"/>
          <w:lang w:eastAsia="hu-HU"/>
        </w:rPr>
      </w:pPr>
    </w:p>
    <w:p w14:paraId="7EFEF382" w14:textId="4A3AE138" w:rsidR="00CB0A5E" w:rsidRPr="004E7324" w:rsidRDefault="00CB0A5E" w:rsidP="00EC10C5">
      <w:pPr>
        <w:pStyle w:val="Cm"/>
        <w:jc w:val="center"/>
        <w:rPr>
          <w:rFonts w:ascii="Times New Roman" w:hAnsi="Times New Roman" w:cs="Times New Roman"/>
          <w:b/>
          <w:sz w:val="32"/>
          <w:szCs w:val="32"/>
        </w:rPr>
      </w:pPr>
      <w:r w:rsidRPr="004E7324">
        <w:rPr>
          <w:rFonts w:ascii="Times New Roman" w:hAnsi="Times New Roman" w:cs="Times New Roman"/>
          <w:b/>
          <w:sz w:val="32"/>
          <w:szCs w:val="32"/>
        </w:rPr>
        <w:t>Jegyzetkivonat</w:t>
      </w:r>
      <w:r w:rsidR="009B739F">
        <w:rPr>
          <w:rStyle w:val="Lbjegyzet-hivatkozs"/>
          <w:rFonts w:ascii="Times New Roman" w:hAnsi="Times New Roman" w:cs="Times New Roman"/>
          <w:b/>
          <w:sz w:val="32"/>
          <w:szCs w:val="32"/>
        </w:rPr>
        <w:footnoteReference w:id="1"/>
      </w:r>
      <w:r w:rsidRPr="004E7324">
        <w:rPr>
          <w:rFonts w:ascii="Times New Roman" w:hAnsi="Times New Roman" w:cs="Times New Roman"/>
          <w:b/>
          <w:sz w:val="32"/>
          <w:szCs w:val="32"/>
        </w:rPr>
        <w:t xml:space="preserve"> a Master of Business </w:t>
      </w:r>
      <w:proofErr w:type="spellStart"/>
      <w:r w:rsidRPr="004E7324">
        <w:rPr>
          <w:rFonts w:ascii="Times New Roman" w:hAnsi="Times New Roman" w:cs="Times New Roman"/>
          <w:b/>
          <w:sz w:val="32"/>
          <w:szCs w:val="32"/>
        </w:rPr>
        <w:t>Administration</w:t>
      </w:r>
      <w:proofErr w:type="spellEnd"/>
      <w:r w:rsidRPr="004E7324">
        <w:rPr>
          <w:rFonts w:ascii="Times New Roman" w:hAnsi="Times New Roman" w:cs="Times New Roman"/>
          <w:b/>
          <w:sz w:val="32"/>
          <w:szCs w:val="32"/>
        </w:rPr>
        <w:t xml:space="preserve"> (MBA), </w:t>
      </w:r>
      <w:r w:rsidR="00F2789F">
        <w:rPr>
          <w:rFonts w:ascii="Times New Roman" w:hAnsi="Times New Roman" w:cs="Times New Roman"/>
          <w:b/>
          <w:sz w:val="32"/>
          <w:szCs w:val="32"/>
        </w:rPr>
        <w:t xml:space="preserve">a Marketing, </w:t>
      </w:r>
      <w:r w:rsidRPr="004E7324">
        <w:rPr>
          <w:rFonts w:ascii="Times New Roman" w:hAnsi="Times New Roman" w:cs="Times New Roman"/>
          <w:b/>
          <w:sz w:val="32"/>
          <w:szCs w:val="32"/>
        </w:rPr>
        <w:t xml:space="preserve">illetve a Vezetés és szervezés mesterképzési szakok Menedzsment </w:t>
      </w:r>
      <w:r w:rsidR="009B739F">
        <w:rPr>
          <w:rFonts w:ascii="Times New Roman" w:hAnsi="Times New Roman" w:cs="Times New Roman"/>
          <w:b/>
          <w:sz w:val="32"/>
          <w:szCs w:val="32"/>
        </w:rPr>
        <w:t xml:space="preserve">ismeretek </w:t>
      </w:r>
      <w:r w:rsidRPr="004E7324">
        <w:rPr>
          <w:rFonts w:ascii="Times New Roman" w:hAnsi="Times New Roman" w:cs="Times New Roman"/>
          <w:b/>
          <w:sz w:val="32"/>
          <w:szCs w:val="32"/>
        </w:rPr>
        <w:t>szigorlathoz</w:t>
      </w:r>
    </w:p>
    <w:p w14:paraId="2110546D" w14:textId="77777777" w:rsidR="00CB0A5E" w:rsidRDefault="00CB0A5E" w:rsidP="00EC10C5">
      <w:pPr>
        <w:spacing w:after="60" w:line="240" w:lineRule="auto"/>
        <w:ind w:firstLine="709"/>
        <w:jc w:val="both"/>
        <w:rPr>
          <w:rFonts w:ascii="Times New Roman" w:hAnsi="Times New Roman" w:cs="Times New Roman"/>
          <w:b/>
          <w:sz w:val="24"/>
          <w:szCs w:val="24"/>
        </w:rPr>
      </w:pPr>
    </w:p>
    <w:p w14:paraId="0A839F36" w14:textId="77777777" w:rsidR="00CB0A5E" w:rsidRDefault="00CB0A5E" w:rsidP="00EC10C5">
      <w:pPr>
        <w:spacing w:after="60" w:line="240" w:lineRule="auto"/>
        <w:ind w:firstLine="709"/>
        <w:jc w:val="both"/>
        <w:rPr>
          <w:rFonts w:ascii="Times New Roman" w:hAnsi="Times New Roman" w:cs="Times New Roman"/>
          <w:b/>
          <w:sz w:val="24"/>
          <w:szCs w:val="24"/>
        </w:rPr>
      </w:pPr>
    </w:p>
    <w:p w14:paraId="767F8446" w14:textId="77777777" w:rsidR="00CB0A5E" w:rsidRPr="00877936" w:rsidRDefault="00CB0A5E" w:rsidP="00EC10C5">
      <w:pPr>
        <w:spacing w:after="60" w:line="240" w:lineRule="auto"/>
        <w:ind w:firstLine="709"/>
        <w:jc w:val="both"/>
        <w:rPr>
          <w:rFonts w:ascii="Times New Roman" w:hAnsi="Times New Roman" w:cs="Times New Roman"/>
          <w:b/>
          <w:sz w:val="24"/>
          <w:szCs w:val="24"/>
        </w:rPr>
      </w:pPr>
      <w:r w:rsidRPr="00877936">
        <w:rPr>
          <w:rFonts w:ascii="Times New Roman" w:hAnsi="Times New Roman" w:cs="Times New Roman"/>
          <w:b/>
          <w:sz w:val="24"/>
          <w:szCs w:val="24"/>
        </w:rPr>
        <w:t>Szigorlati tárgyak:</w:t>
      </w:r>
    </w:p>
    <w:p w14:paraId="15027156" w14:textId="77777777" w:rsidR="00CB0A5E" w:rsidRDefault="00CB0A5E" w:rsidP="00EC10C5">
      <w:pPr>
        <w:spacing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Marketing</w:t>
      </w:r>
    </w:p>
    <w:p w14:paraId="19C2A61E" w14:textId="77777777" w:rsidR="00CB0A5E" w:rsidRDefault="00CB0A5E" w:rsidP="00EC10C5">
      <w:pPr>
        <w:spacing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Szervezeti magatartás</w:t>
      </w:r>
    </w:p>
    <w:p w14:paraId="5B6B9760" w14:textId="77777777" w:rsidR="00CB0A5E" w:rsidRDefault="00CB0A5E" w:rsidP="00EC10C5">
      <w:pPr>
        <w:spacing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Üzleti jog</w:t>
      </w:r>
    </w:p>
    <w:p w14:paraId="499B2CD8" w14:textId="77777777" w:rsidR="00CB0A5E" w:rsidRDefault="00CB0A5E" w:rsidP="00EC10C5">
      <w:pPr>
        <w:spacing w:after="60" w:line="240" w:lineRule="auto"/>
        <w:ind w:firstLine="709"/>
        <w:jc w:val="both"/>
        <w:rPr>
          <w:rFonts w:ascii="Times New Roman" w:hAnsi="Times New Roman" w:cs="Times New Roman"/>
          <w:sz w:val="24"/>
          <w:szCs w:val="24"/>
        </w:rPr>
      </w:pPr>
    </w:p>
    <w:p w14:paraId="1A2BB4AD" w14:textId="77777777" w:rsidR="00CB0A5E" w:rsidRDefault="00CB0A5E" w:rsidP="00EC10C5">
      <w:pPr>
        <w:spacing w:after="60" w:line="240" w:lineRule="auto"/>
        <w:ind w:firstLine="709"/>
        <w:jc w:val="both"/>
        <w:rPr>
          <w:rFonts w:ascii="Times New Roman" w:hAnsi="Times New Roman" w:cs="Times New Roman"/>
          <w:sz w:val="24"/>
          <w:szCs w:val="24"/>
        </w:rPr>
      </w:pPr>
    </w:p>
    <w:p w14:paraId="19BF14BC" w14:textId="77777777" w:rsidR="00CB0A5E" w:rsidRDefault="00CB0A5E" w:rsidP="00EC10C5">
      <w:pPr>
        <w:spacing w:after="60" w:line="240" w:lineRule="auto"/>
        <w:ind w:firstLine="709"/>
        <w:jc w:val="both"/>
        <w:rPr>
          <w:rFonts w:ascii="Times New Roman" w:hAnsi="Times New Roman" w:cs="Times New Roman"/>
          <w:sz w:val="24"/>
          <w:szCs w:val="24"/>
        </w:rPr>
      </w:pPr>
    </w:p>
    <w:p w14:paraId="528B3980" w14:textId="77777777" w:rsidR="00CB0A5E" w:rsidRDefault="00CB0A5E" w:rsidP="00EC10C5">
      <w:pPr>
        <w:spacing w:after="60" w:line="240" w:lineRule="auto"/>
        <w:ind w:firstLine="709"/>
        <w:jc w:val="both"/>
        <w:rPr>
          <w:rFonts w:ascii="Times New Roman" w:hAnsi="Times New Roman" w:cs="Times New Roman"/>
          <w:sz w:val="24"/>
          <w:szCs w:val="24"/>
        </w:rPr>
      </w:pPr>
    </w:p>
    <w:p w14:paraId="4229CF19" w14:textId="77777777" w:rsidR="00CB0A5E" w:rsidRDefault="00CB0A5E" w:rsidP="00EC10C5">
      <w:pPr>
        <w:spacing w:after="60" w:line="240" w:lineRule="auto"/>
        <w:ind w:firstLine="709"/>
        <w:jc w:val="both"/>
        <w:rPr>
          <w:rFonts w:ascii="Times New Roman" w:hAnsi="Times New Roman" w:cs="Times New Roman"/>
          <w:sz w:val="24"/>
          <w:szCs w:val="24"/>
        </w:rPr>
      </w:pPr>
    </w:p>
    <w:p w14:paraId="58FAC5A0" w14:textId="77777777" w:rsidR="00CB0A5E" w:rsidRDefault="00CB0A5E" w:rsidP="00EC10C5">
      <w:pPr>
        <w:spacing w:after="60" w:line="240" w:lineRule="auto"/>
        <w:ind w:firstLine="709"/>
        <w:jc w:val="both"/>
        <w:rPr>
          <w:rFonts w:ascii="Times New Roman" w:hAnsi="Times New Roman" w:cs="Times New Roman"/>
          <w:sz w:val="24"/>
          <w:szCs w:val="24"/>
        </w:rPr>
      </w:pPr>
    </w:p>
    <w:p w14:paraId="277C7945" w14:textId="77777777" w:rsidR="00CB0A5E" w:rsidRDefault="00CB0A5E" w:rsidP="00EC10C5">
      <w:pPr>
        <w:spacing w:after="60" w:line="240" w:lineRule="auto"/>
        <w:ind w:firstLine="709"/>
        <w:jc w:val="both"/>
        <w:rPr>
          <w:rFonts w:ascii="Times New Roman" w:hAnsi="Times New Roman" w:cs="Times New Roman"/>
          <w:sz w:val="24"/>
          <w:szCs w:val="24"/>
        </w:rPr>
      </w:pPr>
    </w:p>
    <w:p w14:paraId="6D45265A" w14:textId="77777777" w:rsidR="00CB0A5E" w:rsidRDefault="00CB0A5E" w:rsidP="00EC10C5">
      <w:pPr>
        <w:spacing w:after="60" w:line="240" w:lineRule="auto"/>
        <w:ind w:firstLine="709"/>
        <w:jc w:val="both"/>
        <w:rPr>
          <w:rFonts w:ascii="Times New Roman" w:hAnsi="Times New Roman" w:cs="Times New Roman"/>
          <w:sz w:val="24"/>
          <w:szCs w:val="24"/>
        </w:rPr>
      </w:pPr>
    </w:p>
    <w:p w14:paraId="10DD462E" w14:textId="77777777" w:rsidR="00CB0A5E" w:rsidRDefault="00CB0A5E" w:rsidP="00EC10C5">
      <w:pPr>
        <w:spacing w:after="60" w:line="240" w:lineRule="auto"/>
        <w:ind w:firstLine="709"/>
        <w:jc w:val="both"/>
        <w:rPr>
          <w:rFonts w:ascii="Times New Roman" w:hAnsi="Times New Roman" w:cs="Times New Roman"/>
          <w:sz w:val="24"/>
          <w:szCs w:val="24"/>
        </w:rPr>
      </w:pPr>
    </w:p>
    <w:p w14:paraId="13DA1361" w14:textId="77777777" w:rsidR="00CB0A5E" w:rsidRDefault="00CB0A5E" w:rsidP="00EC10C5">
      <w:pPr>
        <w:spacing w:after="60" w:line="240" w:lineRule="auto"/>
        <w:ind w:firstLine="709"/>
        <w:jc w:val="both"/>
        <w:rPr>
          <w:rFonts w:ascii="Times New Roman" w:hAnsi="Times New Roman" w:cs="Times New Roman"/>
          <w:sz w:val="24"/>
          <w:szCs w:val="24"/>
        </w:rPr>
      </w:pPr>
    </w:p>
    <w:p w14:paraId="30261A59" w14:textId="77777777" w:rsidR="00CB0A5E" w:rsidRDefault="00CB0A5E" w:rsidP="00EC10C5">
      <w:pPr>
        <w:spacing w:after="60" w:line="240" w:lineRule="auto"/>
        <w:ind w:firstLine="709"/>
        <w:jc w:val="both"/>
        <w:rPr>
          <w:rFonts w:ascii="Times New Roman" w:hAnsi="Times New Roman" w:cs="Times New Roman"/>
          <w:sz w:val="24"/>
          <w:szCs w:val="24"/>
        </w:rPr>
      </w:pPr>
    </w:p>
    <w:p w14:paraId="40CDA551" w14:textId="77777777" w:rsidR="00CB0A5E" w:rsidRDefault="00CB0A5E" w:rsidP="00EC10C5">
      <w:pPr>
        <w:spacing w:after="60" w:line="240" w:lineRule="auto"/>
        <w:ind w:firstLine="709"/>
        <w:jc w:val="both"/>
        <w:rPr>
          <w:rFonts w:ascii="Times New Roman" w:hAnsi="Times New Roman" w:cs="Times New Roman"/>
          <w:sz w:val="24"/>
          <w:szCs w:val="24"/>
        </w:rPr>
      </w:pPr>
    </w:p>
    <w:p w14:paraId="2C4BFE3A" w14:textId="77777777" w:rsidR="00CB0A5E" w:rsidRDefault="00CB0A5E" w:rsidP="00EC10C5">
      <w:pPr>
        <w:spacing w:after="60" w:line="240" w:lineRule="auto"/>
        <w:ind w:firstLine="709"/>
        <w:jc w:val="both"/>
        <w:rPr>
          <w:rFonts w:ascii="Times New Roman" w:hAnsi="Times New Roman" w:cs="Times New Roman"/>
          <w:sz w:val="24"/>
          <w:szCs w:val="24"/>
        </w:rPr>
      </w:pPr>
    </w:p>
    <w:p w14:paraId="7A64BCD3" w14:textId="16F72135" w:rsidR="00CB0A5E" w:rsidRDefault="00CB0A5E" w:rsidP="00EC10C5">
      <w:pPr>
        <w:spacing w:after="60" w:line="240" w:lineRule="auto"/>
        <w:ind w:firstLine="709"/>
        <w:jc w:val="both"/>
        <w:rPr>
          <w:rFonts w:ascii="Times New Roman" w:hAnsi="Times New Roman" w:cs="Times New Roman"/>
          <w:sz w:val="24"/>
          <w:szCs w:val="24"/>
        </w:rPr>
      </w:pPr>
      <w:r>
        <w:rPr>
          <w:rFonts w:ascii="Times New Roman" w:hAnsi="Times New Roman" w:cs="Times New Roman"/>
          <w:sz w:val="24"/>
          <w:szCs w:val="24"/>
        </w:rPr>
        <w:t>Készült: Budapest, 20</w:t>
      </w:r>
      <w:r w:rsidR="00A85337">
        <w:rPr>
          <w:rFonts w:ascii="Times New Roman" w:hAnsi="Times New Roman" w:cs="Times New Roman"/>
          <w:sz w:val="24"/>
          <w:szCs w:val="24"/>
        </w:rPr>
        <w:t>23</w:t>
      </w:r>
      <w:r>
        <w:rPr>
          <w:rFonts w:ascii="Times New Roman" w:hAnsi="Times New Roman" w:cs="Times New Roman"/>
          <w:sz w:val="24"/>
          <w:szCs w:val="24"/>
        </w:rPr>
        <w:t xml:space="preserve">. szeptember </w:t>
      </w:r>
      <w:r w:rsidR="00A85337">
        <w:rPr>
          <w:rFonts w:ascii="Times New Roman" w:hAnsi="Times New Roman" w:cs="Times New Roman"/>
          <w:sz w:val="24"/>
          <w:szCs w:val="24"/>
        </w:rPr>
        <w:t>2</w:t>
      </w:r>
      <w:r>
        <w:rPr>
          <w:rFonts w:ascii="Times New Roman" w:hAnsi="Times New Roman" w:cs="Times New Roman"/>
          <w:sz w:val="24"/>
          <w:szCs w:val="24"/>
        </w:rPr>
        <w:t>5.</w:t>
      </w:r>
    </w:p>
    <w:p w14:paraId="05ACEEFB" w14:textId="77777777" w:rsidR="00CB0A5E" w:rsidRDefault="00CB0A5E" w:rsidP="00EC10C5">
      <w:pPr>
        <w:rPr>
          <w:rFonts w:ascii="Times New Roman" w:hAnsi="Times New Roman" w:cs="Times New Roman"/>
          <w:sz w:val="24"/>
          <w:szCs w:val="24"/>
        </w:rPr>
      </w:pPr>
      <w:r>
        <w:rPr>
          <w:rFonts w:ascii="Times New Roman" w:hAnsi="Times New Roman" w:cs="Times New Roman"/>
          <w:sz w:val="24"/>
          <w:szCs w:val="24"/>
        </w:rPr>
        <w:br w:type="page"/>
      </w:r>
    </w:p>
    <w:p w14:paraId="5658BE44" w14:textId="77777777" w:rsidR="00CB0A5E" w:rsidRPr="00CB0A5E" w:rsidRDefault="00CB0A5E" w:rsidP="00EC10C5">
      <w:pPr>
        <w:pStyle w:val="Cmsor1"/>
        <w:jc w:val="center"/>
        <w:rPr>
          <w:rFonts w:ascii="Times New Roman" w:hAnsi="Times New Roman" w:cs="Times New Roman"/>
          <w:b/>
          <w:sz w:val="24"/>
          <w:szCs w:val="24"/>
        </w:rPr>
      </w:pPr>
      <w:bookmarkStart w:id="4" w:name="_Toc18440799"/>
      <w:r w:rsidRPr="00CB0A5E">
        <w:rPr>
          <w:rFonts w:ascii="Times New Roman" w:eastAsia="Times New Roman" w:hAnsi="Times New Roman" w:cs="Times New Roman"/>
          <w:b/>
          <w:noProof/>
          <w:w w:val="90"/>
          <w:sz w:val="24"/>
          <w:szCs w:val="24"/>
          <w:lang w:eastAsia="hu-HU"/>
        </w:rPr>
        <w:lastRenderedPageBreak/>
        <w:t>I.</w:t>
      </w:r>
      <w:r w:rsidRPr="00CB0A5E">
        <w:rPr>
          <w:rFonts w:ascii="Times New Roman" w:eastAsia="Times New Roman" w:hAnsi="Times New Roman" w:cs="Times New Roman"/>
          <w:b/>
          <w:w w:val="90"/>
          <w:sz w:val="24"/>
          <w:szCs w:val="24"/>
          <w:lang w:val="en-US" w:eastAsia="hu-HU"/>
        </w:rPr>
        <w:tab/>
      </w:r>
      <w:r w:rsidRPr="00CB0A5E">
        <w:rPr>
          <w:rFonts w:ascii="Times New Roman" w:hAnsi="Times New Roman" w:cs="Times New Roman"/>
          <w:b/>
          <w:sz w:val="26"/>
          <w:szCs w:val="26"/>
          <w:u w:val="single"/>
        </w:rPr>
        <w:t>Marketing tárgy témakörei</w:t>
      </w:r>
    </w:p>
    <w:p w14:paraId="2588218E" w14:textId="77777777" w:rsidR="001E0AAE" w:rsidRDefault="00A829C3" w:rsidP="00EC10C5">
      <w:pPr>
        <w:pStyle w:val="Cmsor1"/>
        <w:numPr>
          <w:ilvl w:val="0"/>
          <w:numId w:val="8"/>
        </w:numPr>
        <w:spacing w:after="60" w:line="240" w:lineRule="auto"/>
        <w:ind w:left="0" w:firstLine="709"/>
        <w:jc w:val="both"/>
        <w:rPr>
          <w:rFonts w:ascii="Times New Roman" w:hAnsi="Times New Roman" w:cs="Times New Roman"/>
          <w:b/>
          <w:sz w:val="24"/>
          <w:szCs w:val="24"/>
        </w:rPr>
      </w:pPr>
      <w:r w:rsidRPr="00CB0A5E">
        <w:rPr>
          <w:rFonts w:ascii="Times New Roman" w:hAnsi="Times New Roman" w:cs="Times New Roman"/>
          <w:b/>
          <w:sz w:val="24"/>
          <w:szCs w:val="24"/>
        </w:rPr>
        <w:t>M</w:t>
      </w:r>
      <w:r w:rsidR="001E0AAE" w:rsidRPr="00CB0A5E">
        <w:rPr>
          <w:rFonts w:ascii="Times New Roman" w:hAnsi="Times New Roman" w:cs="Times New Roman"/>
          <w:b/>
          <w:sz w:val="24"/>
          <w:szCs w:val="24"/>
        </w:rPr>
        <w:t>arketing stratégia</w:t>
      </w:r>
      <w:bookmarkEnd w:id="0"/>
      <w:bookmarkEnd w:id="4"/>
      <w:r w:rsidR="001E0AAE" w:rsidRPr="00CB0A5E">
        <w:rPr>
          <w:rFonts w:ascii="Times New Roman" w:hAnsi="Times New Roman" w:cs="Times New Roman"/>
          <w:b/>
          <w:sz w:val="24"/>
          <w:szCs w:val="24"/>
        </w:rPr>
        <w:t xml:space="preserve"> </w:t>
      </w:r>
    </w:p>
    <w:p w14:paraId="727BF8CF" w14:textId="77777777" w:rsidR="00C46DB0" w:rsidRPr="00CB0A5E" w:rsidRDefault="00C46DB0" w:rsidP="00EC10C5">
      <w:pPr>
        <w:pStyle w:val="Cmsor2"/>
        <w:numPr>
          <w:ilvl w:val="1"/>
          <w:numId w:val="8"/>
        </w:numPr>
        <w:spacing w:after="60" w:line="240" w:lineRule="auto"/>
        <w:ind w:left="0" w:firstLine="709"/>
        <w:jc w:val="both"/>
        <w:rPr>
          <w:rFonts w:ascii="Times New Roman" w:hAnsi="Times New Roman" w:cs="Times New Roman"/>
          <w:b/>
          <w:sz w:val="24"/>
          <w:szCs w:val="24"/>
        </w:rPr>
      </w:pPr>
      <w:bookmarkStart w:id="5" w:name="_Toc18440800"/>
      <w:r w:rsidRPr="00CB0A5E">
        <w:rPr>
          <w:rFonts w:ascii="Times New Roman" w:hAnsi="Times New Roman" w:cs="Times New Roman"/>
          <w:b/>
          <w:sz w:val="24"/>
          <w:szCs w:val="24"/>
        </w:rPr>
        <w:t>Üzleti portfólió elemzése, növekedési stratégiák</w:t>
      </w:r>
      <w:bookmarkEnd w:id="5"/>
    </w:p>
    <w:p w14:paraId="19050E32" w14:textId="77777777" w:rsidR="00C46DB0" w:rsidRPr="00CB0A5E" w:rsidRDefault="00C46DB0" w:rsidP="00EC10C5">
      <w:pPr>
        <w:ind w:firstLine="708"/>
        <w:rPr>
          <w:rFonts w:ascii="Times New Roman" w:hAnsi="Times New Roman" w:cs="Times New Roman"/>
          <w:b/>
          <w:sz w:val="24"/>
          <w:szCs w:val="24"/>
        </w:rPr>
      </w:pPr>
      <w:r w:rsidRPr="00CB0A5E">
        <w:rPr>
          <w:rFonts w:ascii="Times New Roman" w:hAnsi="Times New Roman" w:cs="Times New Roman"/>
          <w:b/>
          <w:sz w:val="24"/>
          <w:szCs w:val="24"/>
        </w:rPr>
        <w:t xml:space="preserve">Vállalati stratégia </w:t>
      </w:r>
    </w:p>
    <w:p w14:paraId="71FE4457"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Minden szervezetnek szüksége van a hosszú távú célokra és tervekre a sikeres működéshez, melyek a stratégiai tervek formájában kerülnek kialakításra, és amelyeket a vállalatok időről időre felülvizsgálnak, hozzáigazítva a változó piaci és környezeti feltételekhez. </w:t>
      </w:r>
    </w:p>
    <w:p w14:paraId="4290B5F1"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szervezetek általában éves terveket, középtávú terveket és stratégiai terveket készítenek tevékenységük irányítására. Míg az éves és középtávú tervek a meglévő üzletágak működésére fókuszálnak, addig a stratégiai terv a vállalat hosszú távú, a változó piaci körülményekhez való alkalmazkodásának irányát szabja meg. </w:t>
      </w:r>
      <w:r w:rsidRPr="00CB0A5E">
        <w:rPr>
          <w:rFonts w:ascii="Times New Roman" w:hAnsi="Times New Roman" w:cs="Times New Roman"/>
          <w:b/>
          <w:sz w:val="24"/>
          <w:szCs w:val="24"/>
        </w:rPr>
        <w:t>A stratégiai tervezés olyan folyamat, amely a vállalat céljait és képességeit hangolja össze a változó piaci környezet nyújtotta lehetőségekkel.</w:t>
      </w:r>
      <w:r w:rsidRPr="00CB0A5E">
        <w:rPr>
          <w:rFonts w:ascii="Times New Roman" w:hAnsi="Times New Roman" w:cs="Times New Roman"/>
          <w:sz w:val="24"/>
          <w:szCs w:val="24"/>
        </w:rPr>
        <w:t xml:space="preserve"> </w:t>
      </w:r>
    </w:p>
    <w:p w14:paraId="44A0AD9A"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vállalati stratégia magába foglalja a szervezet hosszú távú elképzeléseinek, átfogó céljainak és irányainak kialakítását annak érdekében, hogy a cég képes legyen kihasználni a folyton változó környezetben adódó lehetőségeket. Ennek a stratégiának három szintjét különböztethetjük meg: vállalati, üzletági és funkcionális. A stratégiát – mindhárom szinten – időnként felül kell bírálni és hozzáigazítani a megváltozott körülményekhez. </w:t>
      </w:r>
    </w:p>
    <w:p w14:paraId="6330B89F" w14:textId="7B4FA592"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marketingstratégiának - ahogy a pénzügyi, </w:t>
      </w:r>
      <w:proofErr w:type="gramStart"/>
      <w:r w:rsidRPr="00CB0A5E">
        <w:rPr>
          <w:rFonts w:ascii="Times New Roman" w:hAnsi="Times New Roman" w:cs="Times New Roman"/>
          <w:sz w:val="24"/>
          <w:szCs w:val="24"/>
        </w:rPr>
        <w:t>HR,</w:t>
      </w:r>
      <w:proofErr w:type="gramEnd"/>
      <w:r w:rsidRPr="00CB0A5E">
        <w:rPr>
          <w:rFonts w:ascii="Times New Roman" w:hAnsi="Times New Roman" w:cs="Times New Roman"/>
          <w:sz w:val="24"/>
          <w:szCs w:val="24"/>
        </w:rPr>
        <w:t xml:space="preserve"> stb. stratégiának is – mindig a vállalati stratégiából kell kiindulnia, ahhoz kell illeszkednie. Az </w:t>
      </w:r>
      <w:r w:rsidRPr="00CB0A5E">
        <w:rPr>
          <w:rFonts w:ascii="Times New Roman" w:hAnsi="Times New Roman" w:cs="Times New Roman"/>
          <w:sz w:val="24"/>
          <w:szCs w:val="24"/>
        </w:rPr>
        <w:fldChar w:fldCharType="begin"/>
      </w:r>
      <w:r w:rsidRPr="00CB0A5E">
        <w:rPr>
          <w:rFonts w:ascii="Times New Roman" w:hAnsi="Times New Roman" w:cs="Times New Roman"/>
          <w:sz w:val="24"/>
          <w:szCs w:val="24"/>
        </w:rPr>
        <w:instrText xml:space="preserve"> REF _Ref1500950 \h  \* MERGEFORMAT </w:instrText>
      </w:r>
      <w:r w:rsidRPr="00CB0A5E">
        <w:rPr>
          <w:rFonts w:ascii="Times New Roman" w:hAnsi="Times New Roman" w:cs="Times New Roman"/>
          <w:sz w:val="24"/>
          <w:szCs w:val="24"/>
        </w:rPr>
      </w:r>
      <w:r w:rsidRPr="00CB0A5E">
        <w:rPr>
          <w:rFonts w:ascii="Times New Roman" w:hAnsi="Times New Roman" w:cs="Times New Roman"/>
          <w:sz w:val="24"/>
          <w:szCs w:val="24"/>
        </w:rPr>
        <w:fldChar w:fldCharType="separate"/>
      </w:r>
      <w:r w:rsidR="006C213D" w:rsidRPr="006C213D">
        <w:rPr>
          <w:rFonts w:ascii="Times New Roman" w:hAnsi="Times New Roman" w:cs="Times New Roman"/>
          <w:noProof/>
          <w:sz w:val="24"/>
          <w:szCs w:val="24"/>
        </w:rPr>
        <w:t>1</w:t>
      </w:r>
      <w:r w:rsidR="006C213D" w:rsidRPr="006C213D">
        <w:rPr>
          <w:rFonts w:ascii="Times New Roman" w:hAnsi="Times New Roman" w:cs="Times New Roman"/>
          <w:sz w:val="24"/>
          <w:szCs w:val="24"/>
        </w:rPr>
        <w:t>. ábra</w:t>
      </w:r>
      <w:r w:rsidRPr="00CB0A5E">
        <w:rPr>
          <w:rFonts w:ascii="Times New Roman" w:hAnsi="Times New Roman" w:cs="Times New Roman"/>
          <w:sz w:val="24"/>
          <w:szCs w:val="24"/>
        </w:rPr>
        <w:fldChar w:fldCharType="end"/>
      </w:r>
      <w:r w:rsidRPr="00CB0A5E">
        <w:rPr>
          <w:rFonts w:ascii="Times New Roman" w:hAnsi="Times New Roman" w:cs="Times New Roman"/>
          <w:sz w:val="24"/>
          <w:szCs w:val="24"/>
        </w:rPr>
        <w:t xml:space="preserve"> a vállalati és az üzletági szintű stratégia kialakulásának folyamatát mutatja be. A vállalat központi szintjén (</w:t>
      </w:r>
      <w:proofErr w:type="spellStart"/>
      <w:r w:rsidRPr="00CB0A5E">
        <w:rPr>
          <w:rFonts w:ascii="Times New Roman" w:hAnsi="Times New Roman" w:cs="Times New Roman"/>
          <w:sz w:val="24"/>
          <w:szCs w:val="24"/>
        </w:rPr>
        <w:t>headquarter</w:t>
      </w:r>
      <w:proofErr w:type="spellEnd"/>
      <w:r w:rsidRPr="00CB0A5E">
        <w:rPr>
          <w:rFonts w:ascii="Times New Roman" w:hAnsi="Times New Roman" w:cs="Times New Roman"/>
          <w:sz w:val="24"/>
          <w:szCs w:val="24"/>
        </w:rPr>
        <w:t>) kerül kialakításra a vállalati stratégia. A vállalati szinten történik a küldetésnyilatkozat (misszió és vízió) meghatározása, a vállalati célkitűzések kialakítása. Vállalati szintű döntés a stratégiai üzletágak kijelölése, ezek jelenlegi piaci helyzetének elemzése, végül az egyes üzletágak helyzete alapján az erőforrások elosztása. Az üzletágakban ezután a piacok és az egyes funkcionális egységek szintjén (így a marketingben is) meghatározzák a vállalati stratégia eléréséhez szükséges funkcionális stratégiát. A marketing stratégiának tehát illeszkednie kell a vállalati, az üzletági stratégia céljaihoz, annak elérését kell szolgálnia.</w:t>
      </w:r>
    </w:p>
    <w:p w14:paraId="5F279722"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bookmarkStart w:id="6" w:name="_Ref1500950"/>
    <w:p w14:paraId="0CDDD85C" w14:textId="2CD2E9BE" w:rsidR="001E0AAE" w:rsidRPr="009A244E" w:rsidRDefault="001E0AAE" w:rsidP="00EC10C5">
      <w:pPr>
        <w:pStyle w:val="Kpalrs"/>
        <w:spacing w:after="60"/>
        <w:ind w:firstLine="709"/>
        <w:jc w:val="center"/>
        <w:rPr>
          <w:rFonts w:ascii="Times New Roman" w:hAnsi="Times New Roman" w:cs="Times New Roman"/>
          <w:b/>
          <w:i w:val="0"/>
          <w:color w:val="000000" w:themeColor="text1"/>
          <w:sz w:val="24"/>
          <w:szCs w:val="24"/>
        </w:rPr>
      </w:pPr>
      <w:r w:rsidRPr="009A244E">
        <w:rPr>
          <w:rFonts w:ascii="Times New Roman" w:hAnsi="Times New Roman" w:cs="Times New Roman"/>
          <w:b/>
          <w:i w:val="0"/>
          <w:color w:val="000000" w:themeColor="text1"/>
          <w:sz w:val="24"/>
          <w:szCs w:val="24"/>
        </w:rPr>
        <w:fldChar w:fldCharType="begin"/>
      </w:r>
      <w:r w:rsidRPr="009A244E">
        <w:rPr>
          <w:rFonts w:ascii="Times New Roman" w:hAnsi="Times New Roman" w:cs="Times New Roman"/>
          <w:b/>
          <w:i w:val="0"/>
          <w:color w:val="000000" w:themeColor="text1"/>
          <w:sz w:val="24"/>
          <w:szCs w:val="24"/>
        </w:rPr>
        <w:instrText xml:space="preserve"> SEQ ábra \* ARABIC </w:instrText>
      </w:r>
      <w:r w:rsidRPr="009A244E">
        <w:rPr>
          <w:rFonts w:ascii="Times New Roman" w:hAnsi="Times New Roman" w:cs="Times New Roman"/>
          <w:b/>
          <w:i w:val="0"/>
          <w:color w:val="000000" w:themeColor="text1"/>
          <w:sz w:val="24"/>
          <w:szCs w:val="24"/>
        </w:rPr>
        <w:fldChar w:fldCharType="separate"/>
      </w:r>
      <w:r w:rsidR="006C213D">
        <w:rPr>
          <w:rFonts w:ascii="Times New Roman" w:hAnsi="Times New Roman" w:cs="Times New Roman"/>
          <w:b/>
          <w:i w:val="0"/>
          <w:noProof/>
          <w:color w:val="000000" w:themeColor="text1"/>
          <w:sz w:val="24"/>
          <w:szCs w:val="24"/>
        </w:rPr>
        <w:t>1</w:t>
      </w:r>
      <w:r w:rsidRPr="009A244E">
        <w:rPr>
          <w:rFonts w:ascii="Times New Roman" w:hAnsi="Times New Roman" w:cs="Times New Roman"/>
          <w:b/>
          <w:i w:val="0"/>
          <w:color w:val="000000" w:themeColor="text1"/>
          <w:sz w:val="24"/>
          <w:szCs w:val="24"/>
        </w:rPr>
        <w:fldChar w:fldCharType="end"/>
      </w:r>
      <w:r w:rsidRPr="009A244E">
        <w:rPr>
          <w:rFonts w:ascii="Times New Roman" w:hAnsi="Times New Roman" w:cs="Times New Roman"/>
          <w:b/>
          <w:i w:val="0"/>
          <w:color w:val="000000" w:themeColor="text1"/>
          <w:sz w:val="24"/>
          <w:szCs w:val="24"/>
        </w:rPr>
        <w:t>. ábra</w:t>
      </w:r>
      <w:bookmarkEnd w:id="6"/>
      <w:r w:rsidRPr="009A244E">
        <w:rPr>
          <w:rFonts w:ascii="Times New Roman" w:hAnsi="Times New Roman" w:cs="Times New Roman"/>
          <w:b/>
          <w:i w:val="0"/>
          <w:color w:val="000000" w:themeColor="text1"/>
          <w:sz w:val="24"/>
          <w:szCs w:val="24"/>
        </w:rPr>
        <w:t xml:space="preserve"> Vállalati és </w:t>
      </w:r>
      <w:proofErr w:type="spellStart"/>
      <w:r w:rsidRPr="009A244E">
        <w:rPr>
          <w:rFonts w:ascii="Times New Roman" w:hAnsi="Times New Roman" w:cs="Times New Roman"/>
          <w:b/>
          <w:i w:val="0"/>
          <w:color w:val="000000" w:themeColor="text1"/>
          <w:sz w:val="24"/>
          <w:szCs w:val="24"/>
        </w:rPr>
        <w:t>divizionális</w:t>
      </w:r>
      <w:proofErr w:type="spellEnd"/>
      <w:r w:rsidRPr="009A244E">
        <w:rPr>
          <w:rFonts w:ascii="Times New Roman" w:hAnsi="Times New Roman" w:cs="Times New Roman"/>
          <w:b/>
          <w:i w:val="0"/>
          <w:color w:val="000000" w:themeColor="text1"/>
          <w:sz w:val="24"/>
          <w:szCs w:val="24"/>
        </w:rPr>
        <w:t xml:space="preserve"> stratégiai tervezés</w:t>
      </w:r>
    </w:p>
    <w:p w14:paraId="35C1EF34" w14:textId="77777777" w:rsidR="001E0AAE" w:rsidRPr="00CB0A5E" w:rsidRDefault="001E0AAE" w:rsidP="00EC10C5">
      <w:pPr>
        <w:spacing w:after="60" w:line="240" w:lineRule="auto"/>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50577C62" wp14:editId="474B8B1A">
            <wp:extent cx="5760000" cy="2351506"/>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2351506"/>
                    </a:xfrm>
                    <a:prstGeom prst="rect">
                      <a:avLst/>
                    </a:prstGeom>
                    <a:noFill/>
                  </pic:spPr>
                </pic:pic>
              </a:graphicData>
            </a:graphic>
          </wp:inline>
        </w:drawing>
      </w:r>
    </w:p>
    <w:p w14:paraId="6C02770E" w14:textId="77777777" w:rsidR="001E0AAE" w:rsidRPr="00CB0A5E" w:rsidRDefault="00062572" w:rsidP="00EC10C5">
      <w:pPr>
        <w:spacing w:after="6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F</w:t>
      </w:r>
      <w:r w:rsidR="001E0AAE" w:rsidRPr="00CB0A5E">
        <w:rPr>
          <w:rFonts w:ascii="Times New Roman" w:hAnsi="Times New Roman" w:cs="Times New Roman"/>
          <w:i/>
          <w:sz w:val="24"/>
          <w:szCs w:val="24"/>
        </w:rPr>
        <w:t xml:space="preserve">orrás: </w:t>
      </w:r>
      <w:proofErr w:type="spellStart"/>
      <w:r w:rsidR="001E0AAE" w:rsidRPr="00CB0A5E">
        <w:rPr>
          <w:rFonts w:ascii="Times New Roman" w:hAnsi="Times New Roman" w:cs="Times New Roman"/>
          <w:i/>
          <w:sz w:val="24"/>
          <w:szCs w:val="24"/>
        </w:rPr>
        <w:t>Kotler-Amstrong</w:t>
      </w:r>
      <w:proofErr w:type="spellEnd"/>
      <w:r w:rsidR="001E0AAE" w:rsidRPr="00CB0A5E">
        <w:rPr>
          <w:rFonts w:ascii="Times New Roman" w:hAnsi="Times New Roman" w:cs="Times New Roman"/>
          <w:i/>
          <w:sz w:val="24"/>
          <w:szCs w:val="24"/>
        </w:rPr>
        <w:t xml:space="preserve"> (2017)</w:t>
      </w:r>
    </w:p>
    <w:p w14:paraId="359E33C5" w14:textId="77777777" w:rsidR="001E0AAE" w:rsidRPr="00CB0A5E" w:rsidRDefault="001E0AAE" w:rsidP="00EC10C5">
      <w:pPr>
        <w:spacing w:after="60" w:line="240" w:lineRule="auto"/>
        <w:ind w:firstLine="709"/>
        <w:jc w:val="both"/>
        <w:rPr>
          <w:rFonts w:ascii="Times New Roman" w:hAnsi="Times New Roman" w:cs="Times New Roman"/>
          <w:i/>
          <w:sz w:val="24"/>
          <w:szCs w:val="24"/>
        </w:rPr>
      </w:pPr>
    </w:p>
    <w:p w14:paraId="1134E4C3" w14:textId="77777777" w:rsidR="001E0AAE" w:rsidRPr="00CB0A5E" w:rsidRDefault="001E0AAE" w:rsidP="00EC10C5">
      <w:pPr>
        <w:spacing w:after="60" w:line="240" w:lineRule="auto"/>
        <w:ind w:firstLine="709"/>
        <w:jc w:val="both"/>
        <w:rPr>
          <w:rFonts w:ascii="Times New Roman" w:eastAsia="Times New Roman" w:hAnsi="Times New Roman" w:cs="Times New Roman"/>
          <w:sz w:val="24"/>
          <w:szCs w:val="24"/>
          <w:lang w:eastAsia="hu-HU"/>
        </w:rPr>
      </w:pPr>
      <w:r w:rsidRPr="00CB0A5E">
        <w:rPr>
          <w:rFonts w:ascii="Times New Roman" w:hAnsi="Times New Roman" w:cs="Times New Roman"/>
          <w:sz w:val="24"/>
          <w:szCs w:val="24"/>
        </w:rPr>
        <w:lastRenderedPageBreak/>
        <w:t>A vállalati stratégia meghatározó része a vállalat küldetésnyilatkozatának (</w:t>
      </w:r>
      <w:proofErr w:type="spellStart"/>
      <w:r w:rsidRPr="00CB0A5E">
        <w:rPr>
          <w:rFonts w:ascii="Times New Roman" w:hAnsi="Times New Roman" w:cs="Times New Roman"/>
          <w:sz w:val="24"/>
          <w:szCs w:val="24"/>
        </w:rPr>
        <w:t>mission</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statement</w:t>
      </w:r>
      <w:proofErr w:type="spellEnd"/>
      <w:r w:rsidRPr="00CB0A5E">
        <w:rPr>
          <w:rFonts w:ascii="Times New Roman" w:hAnsi="Times New Roman" w:cs="Times New Roman"/>
          <w:sz w:val="24"/>
          <w:szCs w:val="24"/>
        </w:rPr>
        <w:t xml:space="preserve">) megfogalmazása. </w:t>
      </w:r>
      <w:r w:rsidRPr="00CB0A5E">
        <w:rPr>
          <w:rFonts w:ascii="Times New Roman" w:eastAsia="+mn-ea" w:hAnsi="Times New Roman" w:cs="Times New Roman"/>
          <w:b/>
          <w:sz w:val="24"/>
          <w:szCs w:val="24"/>
          <w:lang w:eastAsia="hu-HU"/>
        </w:rPr>
        <w:t>A küldetésnyilatkozat</w:t>
      </w:r>
      <w:r w:rsidRPr="00CB0A5E">
        <w:rPr>
          <w:rFonts w:ascii="Times New Roman" w:eastAsia="+mn-ea" w:hAnsi="Times New Roman" w:cs="Times New Roman"/>
          <w:sz w:val="24"/>
          <w:szCs w:val="24"/>
          <w:lang w:eastAsia="hu-HU"/>
        </w:rPr>
        <w:t xml:space="preserve"> hosszú távú szemléletű, a vállalat fő irányvonalait és értékeit emeli ki, meghatározza a szervezet működési terét. A jó küldetésnyilatkozat korlátozott számú célra összpontosít, piacorientált, könnyen megjegyezhető és megérthető. </w:t>
      </w:r>
    </w:p>
    <w:p w14:paraId="3538B84D" w14:textId="77777777" w:rsidR="001E0AAE" w:rsidRPr="00CB0A5E" w:rsidRDefault="001E0AAE"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
          <w:sz w:val="24"/>
          <w:szCs w:val="24"/>
        </w:rPr>
        <w:t>A vállalati stratégiai célkitűzések</w:t>
      </w:r>
      <w:r w:rsidRPr="00CB0A5E">
        <w:rPr>
          <w:rFonts w:ascii="Times New Roman" w:hAnsi="Times New Roman" w:cs="Times New Roman"/>
          <w:sz w:val="24"/>
          <w:szCs w:val="24"/>
        </w:rPr>
        <w:t xml:space="preserve"> kialakítása helyzetelemzés alapján történik, melynek célja a vállalat jelenlegi piaci helyzetének, jövőbeli lehetőségeinek elemzése, ennek alapján a relatív versenyelőny meghatározása. </w:t>
      </w:r>
      <w:r w:rsidRPr="00CB0A5E">
        <w:rPr>
          <w:rFonts w:ascii="Times New Roman" w:hAnsi="Times New Roman" w:cs="Times New Roman"/>
          <w:b/>
          <w:bCs/>
          <w:sz w:val="24"/>
          <w:szCs w:val="24"/>
        </w:rPr>
        <w:t>Az üzleti portfólió</w:t>
      </w:r>
      <w:r w:rsidRPr="00CB0A5E">
        <w:rPr>
          <w:rFonts w:ascii="Times New Roman" w:hAnsi="Times New Roman" w:cs="Times New Roman"/>
          <w:sz w:val="24"/>
          <w:szCs w:val="24"/>
        </w:rPr>
        <w:t xml:space="preserve"> a vállalat üzletágainak és termékeinek az összessége. </w:t>
      </w:r>
      <w:r w:rsidRPr="00CB0A5E">
        <w:rPr>
          <w:rFonts w:ascii="Times New Roman" w:hAnsi="Times New Roman" w:cs="Times New Roman"/>
          <w:b/>
          <w:bCs/>
          <w:sz w:val="24"/>
          <w:szCs w:val="24"/>
        </w:rPr>
        <w:t xml:space="preserve">Portfólió elemzés </w:t>
      </w:r>
      <w:r w:rsidRPr="00CB0A5E">
        <w:rPr>
          <w:rFonts w:ascii="Times New Roman" w:hAnsi="Times New Roman" w:cs="Times New Roman"/>
          <w:sz w:val="24"/>
          <w:szCs w:val="24"/>
        </w:rPr>
        <w:t>a stratégiai tervezés azon része, amikor a menedzsment értékeli a vállalat termékeit és üzletágait</w:t>
      </w:r>
      <w:r w:rsidRPr="00CB0A5E">
        <w:rPr>
          <w:rFonts w:ascii="Times New Roman" w:hAnsi="Times New Roman" w:cs="Times New Roman"/>
          <w:b/>
          <w:bCs/>
          <w:sz w:val="24"/>
          <w:szCs w:val="24"/>
        </w:rPr>
        <w:t xml:space="preserve">. </w:t>
      </w:r>
      <w:r w:rsidRPr="00CB0A5E">
        <w:rPr>
          <w:rFonts w:ascii="Times New Roman" w:hAnsi="Times New Roman" w:cs="Times New Roman"/>
          <w:bCs/>
          <w:sz w:val="24"/>
          <w:szCs w:val="24"/>
        </w:rPr>
        <w:t>A vállalat több erőforrást fektet be a várhatóan jövedelmezőbb üzletágakba, míg a gyengébben teljesítőket akár le is építheti, vagy eladhatja.</w:t>
      </w:r>
    </w:p>
    <w:p w14:paraId="5C0322EF" w14:textId="77777777" w:rsidR="001E0AAE" w:rsidRPr="00CB0A5E" w:rsidRDefault="001E0AAE"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A jelenlegi üzleti portfólió elemzésének lépései:</w:t>
      </w:r>
    </w:p>
    <w:p w14:paraId="7F60172B" w14:textId="77777777" w:rsidR="001E0AAE" w:rsidRPr="00CB0A5E" w:rsidRDefault="001E0AAE" w:rsidP="00EC10C5">
      <w:pPr>
        <w:pStyle w:val="Listaszerbekezds"/>
        <w:numPr>
          <w:ilvl w:val="0"/>
          <w:numId w:val="9"/>
        </w:numPr>
        <w:spacing w:after="60" w:line="240" w:lineRule="auto"/>
        <w:ind w:left="567" w:firstLine="709"/>
        <w:rPr>
          <w:rFonts w:cs="Times New Roman"/>
          <w:szCs w:val="24"/>
        </w:rPr>
      </w:pPr>
      <w:r w:rsidRPr="00CB0A5E">
        <w:rPr>
          <w:rFonts w:cs="Times New Roman"/>
          <w:szCs w:val="24"/>
        </w:rPr>
        <w:t>A stratégiai üzletágak azonosítása (</w:t>
      </w:r>
      <w:proofErr w:type="spellStart"/>
      <w:r w:rsidRPr="00CB0A5E">
        <w:rPr>
          <w:rFonts w:cs="Times New Roman"/>
          <w:szCs w:val="24"/>
        </w:rPr>
        <w:t>Strategic</w:t>
      </w:r>
      <w:proofErr w:type="spellEnd"/>
      <w:r w:rsidRPr="00CB0A5E">
        <w:rPr>
          <w:rFonts w:cs="Times New Roman"/>
          <w:szCs w:val="24"/>
        </w:rPr>
        <w:t xml:space="preserve"> Business </w:t>
      </w:r>
      <w:proofErr w:type="spellStart"/>
      <w:r w:rsidRPr="00CB0A5E">
        <w:rPr>
          <w:rFonts w:cs="Times New Roman"/>
          <w:szCs w:val="24"/>
        </w:rPr>
        <w:t>Units</w:t>
      </w:r>
      <w:proofErr w:type="spellEnd"/>
      <w:r w:rsidRPr="00CB0A5E">
        <w:rPr>
          <w:rFonts w:cs="Times New Roman"/>
          <w:szCs w:val="24"/>
        </w:rPr>
        <w:t xml:space="preserve"> – SBU)</w:t>
      </w:r>
    </w:p>
    <w:p w14:paraId="2465BF7D" w14:textId="77777777" w:rsidR="001E0AAE" w:rsidRPr="00CB0A5E" w:rsidRDefault="001E0AAE" w:rsidP="00EC10C5">
      <w:pPr>
        <w:pStyle w:val="Listaszerbekezds"/>
        <w:numPr>
          <w:ilvl w:val="0"/>
          <w:numId w:val="9"/>
        </w:numPr>
        <w:spacing w:after="60" w:line="240" w:lineRule="auto"/>
        <w:ind w:left="567" w:firstLine="709"/>
        <w:rPr>
          <w:rFonts w:cs="Times New Roman"/>
          <w:szCs w:val="24"/>
        </w:rPr>
      </w:pPr>
      <w:r w:rsidRPr="00CB0A5E">
        <w:rPr>
          <w:rFonts w:cs="Times New Roman"/>
          <w:noProof/>
          <w:szCs w:val="24"/>
          <w:lang w:eastAsia="hu-HU"/>
        </w:rPr>
        <mc:AlternateContent>
          <mc:Choice Requires="wps">
            <w:drawing>
              <wp:anchor distT="0" distB="0" distL="114300" distR="114300" simplePos="0" relativeHeight="251664384" behindDoc="0" locked="0" layoutInCell="1" allowOverlap="1" wp14:anchorId="38243392" wp14:editId="5FDB3AAF">
                <wp:simplePos x="0" y="0"/>
                <wp:positionH relativeFrom="column">
                  <wp:posOffset>1614805</wp:posOffset>
                </wp:positionH>
                <wp:positionV relativeFrom="paragraph">
                  <wp:posOffset>10619105</wp:posOffset>
                </wp:positionV>
                <wp:extent cx="1903095" cy="400050"/>
                <wp:effectExtent l="0" t="0" r="0" b="0"/>
                <wp:wrapNone/>
                <wp:docPr id="22" name="Szövegdoboz 19"/>
                <wp:cNvGraphicFramePr/>
                <a:graphic xmlns:a="http://schemas.openxmlformats.org/drawingml/2006/main">
                  <a:graphicData uri="http://schemas.microsoft.com/office/word/2010/wordprocessingShape">
                    <wps:wsp>
                      <wps:cNvSpPr txBox="1"/>
                      <wps:spPr>
                        <a:xfrm>
                          <a:off x="0" y="0"/>
                          <a:ext cx="1903095" cy="400050"/>
                        </a:xfrm>
                        <a:prstGeom prst="rect">
                          <a:avLst/>
                        </a:prstGeom>
                        <a:noFill/>
                      </wps:spPr>
                      <wps:txbx>
                        <w:txbxContent>
                          <w:p w14:paraId="002FFC7C" w14:textId="77777777" w:rsidR="00EC10C5" w:rsidRDefault="00EC10C5" w:rsidP="001E0AAE">
                            <w:pPr>
                              <w:pStyle w:val="NormlWeb"/>
                              <w:spacing w:before="0" w:beforeAutospacing="0" w:after="0" w:afterAutospacing="0"/>
                            </w:pPr>
                            <w:r>
                              <w:rPr>
                                <w:rFonts w:asciiTheme="minorHAnsi" w:hAnsi="Calibri" w:cstheme="minorBidi"/>
                                <w:b/>
                                <w:bCs/>
                                <w:color w:val="000000" w:themeColor="text1"/>
                                <w:kern w:val="24"/>
                                <w:sz w:val="40"/>
                                <w:szCs w:val="40"/>
                              </w:rPr>
                              <w:t>MAGAS</w:t>
                            </w:r>
                          </w:p>
                        </w:txbxContent>
                      </wps:txbx>
                      <wps:bodyPr wrap="square" rtlCol="0">
                        <a:spAutoFit/>
                      </wps:bodyPr>
                    </wps:wsp>
                  </a:graphicData>
                </a:graphic>
              </wp:anchor>
            </w:drawing>
          </mc:Choice>
          <mc:Fallback>
            <w:pict>
              <v:shapetype w14:anchorId="38243392" id="_x0000_t202" coordsize="21600,21600" o:spt="202" path="m,l,21600r21600,l21600,xe">
                <v:stroke joinstyle="miter"/>
                <v:path gradientshapeok="t" o:connecttype="rect"/>
              </v:shapetype>
              <v:shape id="Szövegdoboz 19" o:spid="_x0000_s1026" type="#_x0000_t202" style="position:absolute;left:0;text-align:left;margin-left:127.15pt;margin-top:836.15pt;width:149.8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" filled="f" stroked="f">
                <v:textbox style="mso-fit-shape-to-text:t">
                  <w:txbxContent>
                    <w:p w14:paraId="002FFC7C" w14:textId="77777777" w:rsidR="00EC10C5" w:rsidRDefault="00EC10C5" w:rsidP="001E0AAE">
                      <w:pPr>
                        <w:pStyle w:val="NormalWeb"/>
                        <w:spacing w:before="0" w:beforeAutospacing="0" w:after="0" w:afterAutospacing="0"/>
                      </w:pPr>
                      <w:r>
                        <w:rPr>
                          <w:rFonts w:asciiTheme="minorHAnsi" w:hAnsi="Calibri" w:cstheme="minorBidi"/>
                          <w:b/>
                          <w:bCs/>
                          <w:color w:val="000000" w:themeColor="text1"/>
                          <w:kern w:val="24"/>
                          <w:sz w:val="40"/>
                          <w:szCs w:val="40"/>
                        </w:rPr>
                        <w:t>MAGAS</w:t>
                      </w:r>
                    </w:p>
                  </w:txbxContent>
                </v:textbox>
              </v:shape>
            </w:pict>
          </mc:Fallback>
        </mc:AlternateContent>
      </w:r>
      <w:r w:rsidRPr="00CB0A5E">
        <w:rPr>
          <w:rFonts w:cs="Times New Roman"/>
          <w:noProof/>
          <w:szCs w:val="24"/>
          <w:lang w:eastAsia="hu-HU"/>
        </w:rPr>
        <mc:AlternateContent>
          <mc:Choice Requires="wps">
            <w:drawing>
              <wp:anchor distT="0" distB="0" distL="114300" distR="114300" simplePos="0" relativeHeight="251663360" behindDoc="0" locked="0" layoutInCell="1" allowOverlap="1" wp14:anchorId="786732D3" wp14:editId="2A15AE08">
                <wp:simplePos x="0" y="0"/>
                <wp:positionH relativeFrom="column">
                  <wp:posOffset>13892530</wp:posOffset>
                </wp:positionH>
                <wp:positionV relativeFrom="paragraph">
                  <wp:posOffset>10685780</wp:posOffset>
                </wp:positionV>
                <wp:extent cx="1903095" cy="400050"/>
                <wp:effectExtent l="0" t="0" r="0" b="0"/>
                <wp:wrapNone/>
                <wp:docPr id="21" name="Szövegdoboz 18"/>
                <wp:cNvGraphicFramePr/>
                <a:graphic xmlns:a="http://schemas.openxmlformats.org/drawingml/2006/main">
                  <a:graphicData uri="http://schemas.microsoft.com/office/word/2010/wordprocessingShape">
                    <wps:wsp>
                      <wps:cNvSpPr txBox="1"/>
                      <wps:spPr>
                        <a:xfrm>
                          <a:off x="0" y="0"/>
                          <a:ext cx="1903095" cy="400050"/>
                        </a:xfrm>
                        <a:prstGeom prst="rect">
                          <a:avLst/>
                        </a:prstGeom>
                        <a:noFill/>
                      </wps:spPr>
                      <wps:txbx>
                        <w:txbxContent>
                          <w:p w14:paraId="1BBA7DBA" w14:textId="77777777" w:rsidR="00EC10C5" w:rsidRDefault="00EC10C5" w:rsidP="001E0AAE">
                            <w:pPr>
                              <w:pStyle w:val="NormlWeb"/>
                              <w:spacing w:before="0" w:beforeAutospacing="0" w:after="0" w:afterAutospacing="0"/>
                            </w:pPr>
                            <w:r>
                              <w:rPr>
                                <w:rFonts w:asciiTheme="minorHAnsi" w:hAnsi="Calibri" w:cstheme="minorBidi"/>
                                <w:b/>
                                <w:bCs/>
                                <w:color w:val="000000" w:themeColor="text1"/>
                                <w:kern w:val="24"/>
                                <w:sz w:val="40"/>
                                <w:szCs w:val="40"/>
                              </w:rPr>
                              <w:t>ALACSONY</w:t>
                            </w:r>
                          </w:p>
                        </w:txbxContent>
                      </wps:txbx>
                      <wps:bodyPr wrap="square" rtlCol="0">
                        <a:spAutoFit/>
                      </wps:bodyPr>
                    </wps:wsp>
                  </a:graphicData>
                </a:graphic>
              </wp:anchor>
            </w:drawing>
          </mc:Choice>
          <mc:Fallback>
            <w:pict>
              <v:shape w14:anchorId="786732D3" id="Szövegdoboz 18" o:spid="_x0000_s1027" type="#_x0000_t202" style="position:absolute;left:0;text-align:left;margin-left:1093.9pt;margin-top:841.4pt;width:149.8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" filled="f" stroked="f">
                <v:textbox style="mso-fit-shape-to-text:t">
                  <w:txbxContent>
                    <w:p w14:paraId="1BBA7DBA" w14:textId="77777777" w:rsidR="00EC10C5" w:rsidRDefault="00EC10C5" w:rsidP="001E0AAE">
                      <w:pPr>
                        <w:pStyle w:val="NormalWeb"/>
                        <w:spacing w:before="0" w:beforeAutospacing="0" w:after="0" w:afterAutospacing="0"/>
                      </w:pPr>
                      <w:r>
                        <w:rPr>
                          <w:rFonts w:asciiTheme="minorHAnsi" w:hAnsi="Calibri" w:cstheme="minorBidi"/>
                          <w:b/>
                          <w:bCs/>
                          <w:color w:val="000000" w:themeColor="text1"/>
                          <w:kern w:val="24"/>
                          <w:sz w:val="40"/>
                          <w:szCs w:val="40"/>
                        </w:rPr>
                        <w:t>ALACSONY</w:t>
                      </w:r>
                    </w:p>
                  </w:txbxContent>
                </v:textbox>
              </v:shape>
            </w:pict>
          </mc:Fallback>
        </mc:AlternateContent>
      </w:r>
      <w:r w:rsidRPr="00CB0A5E">
        <w:rPr>
          <w:rFonts w:cs="Times New Roman"/>
          <w:noProof/>
          <w:szCs w:val="24"/>
          <w:lang w:eastAsia="hu-HU"/>
        </w:rPr>
        <mc:AlternateContent>
          <mc:Choice Requires="wps">
            <w:drawing>
              <wp:anchor distT="0" distB="0" distL="114300" distR="114300" simplePos="0" relativeHeight="251662336" behindDoc="0" locked="0" layoutInCell="1" allowOverlap="1" wp14:anchorId="1CC2399B" wp14:editId="6228BAD6">
                <wp:simplePos x="0" y="0"/>
                <wp:positionH relativeFrom="column">
                  <wp:posOffset>-1109345</wp:posOffset>
                </wp:positionH>
                <wp:positionV relativeFrom="paragraph">
                  <wp:posOffset>9799955</wp:posOffset>
                </wp:positionV>
                <wp:extent cx="1903095" cy="400050"/>
                <wp:effectExtent l="0" t="0" r="0" b="0"/>
                <wp:wrapNone/>
                <wp:docPr id="20" name="Szövegdoboz 17"/>
                <wp:cNvGraphicFramePr/>
                <a:graphic xmlns:a="http://schemas.openxmlformats.org/drawingml/2006/main">
                  <a:graphicData uri="http://schemas.microsoft.com/office/word/2010/wordprocessingShape">
                    <wps:wsp>
                      <wps:cNvSpPr txBox="1"/>
                      <wps:spPr>
                        <a:xfrm>
                          <a:off x="0" y="0"/>
                          <a:ext cx="1903095" cy="400050"/>
                        </a:xfrm>
                        <a:prstGeom prst="rect">
                          <a:avLst/>
                        </a:prstGeom>
                        <a:noFill/>
                      </wps:spPr>
                      <wps:txbx>
                        <w:txbxContent>
                          <w:p w14:paraId="4A492C81" w14:textId="77777777" w:rsidR="00EC10C5" w:rsidRDefault="00EC10C5" w:rsidP="001E0AAE">
                            <w:pPr>
                              <w:pStyle w:val="NormlWeb"/>
                              <w:spacing w:before="0" w:beforeAutospacing="0" w:after="0" w:afterAutospacing="0"/>
                            </w:pPr>
                            <w:r>
                              <w:rPr>
                                <w:rFonts w:asciiTheme="minorHAnsi" w:hAnsi="Calibri" w:cstheme="minorBidi"/>
                                <w:b/>
                                <w:bCs/>
                                <w:color w:val="000000" w:themeColor="text1"/>
                                <w:kern w:val="24"/>
                                <w:sz w:val="40"/>
                                <w:szCs w:val="40"/>
                              </w:rPr>
                              <w:t>ALACSONY</w:t>
                            </w:r>
                          </w:p>
                        </w:txbxContent>
                      </wps:txbx>
                      <wps:bodyPr wrap="square" rtlCol="0">
                        <a:spAutoFit/>
                      </wps:bodyPr>
                    </wps:wsp>
                  </a:graphicData>
                </a:graphic>
              </wp:anchor>
            </w:drawing>
          </mc:Choice>
          <mc:Fallback>
            <w:pict>
              <v:shape w14:anchorId="1CC2399B" id="Szövegdoboz 17" o:spid="_x0000_s1028" type="#_x0000_t202" style="position:absolute;left:0;text-align:left;margin-left:-87.35pt;margin-top:771.65pt;width:149.8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" filled="f" stroked="f">
                <v:textbox style="mso-fit-shape-to-text:t">
                  <w:txbxContent>
                    <w:p w14:paraId="4A492C81" w14:textId="77777777" w:rsidR="00EC10C5" w:rsidRDefault="00EC10C5" w:rsidP="001E0AAE">
                      <w:pPr>
                        <w:pStyle w:val="NormalWeb"/>
                        <w:spacing w:before="0" w:beforeAutospacing="0" w:after="0" w:afterAutospacing="0"/>
                      </w:pPr>
                      <w:r>
                        <w:rPr>
                          <w:rFonts w:asciiTheme="minorHAnsi" w:hAnsi="Calibri" w:cstheme="minorBidi"/>
                          <w:b/>
                          <w:bCs/>
                          <w:color w:val="000000" w:themeColor="text1"/>
                          <w:kern w:val="24"/>
                          <w:sz w:val="40"/>
                          <w:szCs w:val="40"/>
                        </w:rPr>
                        <w:t>ALACSONY</w:t>
                      </w:r>
                    </w:p>
                  </w:txbxContent>
                </v:textbox>
              </v:shape>
            </w:pict>
          </mc:Fallback>
        </mc:AlternateContent>
      </w:r>
      <w:r w:rsidRPr="00CB0A5E">
        <w:rPr>
          <w:rFonts w:cs="Times New Roman"/>
          <w:noProof/>
          <w:szCs w:val="24"/>
          <w:lang w:eastAsia="hu-HU"/>
        </w:rPr>
        <mc:AlternateContent>
          <mc:Choice Requires="wps">
            <w:drawing>
              <wp:anchor distT="0" distB="0" distL="114300" distR="114300" simplePos="0" relativeHeight="251661312" behindDoc="0" locked="0" layoutInCell="1" allowOverlap="1" wp14:anchorId="4F94812D" wp14:editId="0F2C8899">
                <wp:simplePos x="0" y="0"/>
                <wp:positionH relativeFrom="column">
                  <wp:posOffset>4710430</wp:posOffset>
                </wp:positionH>
                <wp:positionV relativeFrom="paragraph">
                  <wp:posOffset>10457180</wp:posOffset>
                </wp:positionV>
                <wp:extent cx="4587875" cy="461645"/>
                <wp:effectExtent l="0" t="0" r="0" b="0"/>
                <wp:wrapNone/>
                <wp:docPr id="18" name="Szövegdoboz 15"/>
                <wp:cNvGraphicFramePr/>
                <a:graphic xmlns:a="http://schemas.openxmlformats.org/drawingml/2006/main">
                  <a:graphicData uri="http://schemas.microsoft.com/office/word/2010/wordprocessingShape">
                    <wps:wsp>
                      <wps:cNvSpPr txBox="1"/>
                      <wps:spPr>
                        <a:xfrm>
                          <a:off x="0" y="0"/>
                          <a:ext cx="4587875" cy="461645"/>
                        </a:xfrm>
                        <a:prstGeom prst="rect">
                          <a:avLst/>
                        </a:prstGeom>
                        <a:noFill/>
                      </wps:spPr>
                      <wps:txbx>
                        <w:txbxContent>
                          <w:p w14:paraId="28246A2E" w14:textId="77777777" w:rsidR="00EC10C5" w:rsidRDefault="00EC10C5" w:rsidP="001E0AAE">
                            <w:pPr>
                              <w:pStyle w:val="NormlWeb"/>
                              <w:spacing w:before="0" w:beforeAutospacing="0" w:after="0" w:afterAutospacing="0"/>
                            </w:pPr>
                            <w:r>
                              <w:rPr>
                                <w:rFonts w:asciiTheme="minorHAnsi" w:hAnsi="Calibri" w:cstheme="minorBidi"/>
                                <w:b/>
                                <w:bCs/>
                                <w:color w:val="000000" w:themeColor="text1"/>
                                <w:kern w:val="24"/>
                                <w:sz w:val="48"/>
                                <w:szCs w:val="48"/>
                              </w:rPr>
                              <w:t>PIACI RÉSZESEDÉS MÉRTÉKE</w:t>
                            </w:r>
                          </w:p>
                        </w:txbxContent>
                      </wps:txbx>
                      <wps:bodyPr wrap="square" rtlCol="0">
                        <a:spAutoFit/>
                      </wps:bodyPr>
                    </wps:wsp>
                  </a:graphicData>
                </a:graphic>
              </wp:anchor>
            </w:drawing>
          </mc:Choice>
          <mc:Fallback>
            <w:pict>
              <v:shape w14:anchorId="4F94812D" id="Szövegdoboz 15" o:spid="_x0000_s1029" type="#_x0000_t202" style="position:absolute;left:0;text-align:left;margin-left:370.9pt;margin-top:823.4pt;width:361.25pt;height:3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" filled="f" stroked="f">
                <v:textbox style="mso-fit-shape-to-text:t">
                  <w:txbxContent>
                    <w:p w14:paraId="28246A2E" w14:textId="77777777" w:rsidR="00EC10C5" w:rsidRDefault="00EC10C5" w:rsidP="001E0AAE">
                      <w:pPr>
                        <w:pStyle w:val="NormalWeb"/>
                        <w:spacing w:before="0" w:beforeAutospacing="0" w:after="0" w:afterAutospacing="0"/>
                      </w:pPr>
                      <w:r>
                        <w:rPr>
                          <w:rFonts w:asciiTheme="minorHAnsi" w:hAnsi="Calibri" w:cstheme="minorBidi"/>
                          <w:b/>
                          <w:bCs/>
                          <w:color w:val="000000" w:themeColor="text1"/>
                          <w:kern w:val="24"/>
                          <w:sz w:val="48"/>
                          <w:szCs w:val="48"/>
                        </w:rPr>
                        <w:t>PIACI RÉSZESEDÉS MÉRTÉKE</w:t>
                      </w:r>
                    </w:p>
                  </w:txbxContent>
                </v:textbox>
              </v:shape>
            </w:pict>
          </mc:Fallback>
        </mc:AlternateContent>
      </w:r>
      <w:r w:rsidRPr="00CB0A5E">
        <w:rPr>
          <w:rFonts w:cs="Times New Roman"/>
          <w:noProof/>
          <w:szCs w:val="24"/>
          <w:lang w:eastAsia="hu-HU"/>
        </w:rPr>
        <mc:AlternateContent>
          <mc:Choice Requires="wps">
            <w:drawing>
              <wp:anchor distT="0" distB="0" distL="114300" distR="114300" simplePos="0" relativeHeight="251660288" behindDoc="0" locked="0" layoutInCell="1" allowOverlap="1" wp14:anchorId="3A81029D" wp14:editId="024E213F">
                <wp:simplePos x="0" y="0"/>
                <wp:positionH relativeFrom="column">
                  <wp:posOffset>490855</wp:posOffset>
                </wp:positionH>
                <wp:positionV relativeFrom="paragraph">
                  <wp:posOffset>10466705</wp:posOffset>
                </wp:positionV>
                <wp:extent cx="7258685" cy="36830"/>
                <wp:effectExtent l="0" t="152400" r="0" b="134620"/>
                <wp:wrapNone/>
                <wp:docPr id="17" name="Egyenes összekötő nyíllal 12"/>
                <wp:cNvGraphicFramePr/>
                <a:graphic xmlns:a="http://schemas.openxmlformats.org/drawingml/2006/main">
                  <a:graphicData uri="http://schemas.microsoft.com/office/word/2010/wordprocessingShape">
                    <wps:wsp>
                      <wps:cNvCnPr/>
                      <wps:spPr>
                        <a:xfrm flipV="1">
                          <a:off x="0" y="0"/>
                          <a:ext cx="7258685" cy="3683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CA23A2" id="_x0000_t32" coordsize="21600,21600" o:spt="32" o:oned="t" path="m,l21600,21600e" filled="f">
                <v:path arrowok="t" fillok="f" o:connecttype="none"/>
                <o:lock v:ext="edit" shapetype="t"/>
              </v:shapetype>
              <v:shape id="Egyenes összekötő nyíllal 12" o:spid="_x0000_s1026" type="#_x0000_t32" style="position:absolute;margin-left:38.65pt;margin-top:824.15pt;width:571.55pt;height:2.9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" strokecolor="#5b9bd5 [3204]" strokeweight="6pt">
                <v:stroke endarrow="block" joinstyle="miter"/>
              </v:shape>
            </w:pict>
          </mc:Fallback>
        </mc:AlternateContent>
      </w:r>
      <w:r w:rsidRPr="00CB0A5E">
        <w:rPr>
          <w:rFonts w:cs="Times New Roman"/>
          <w:noProof/>
          <w:szCs w:val="24"/>
          <w:lang w:eastAsia="hu-HU"/>
        </w:rPr>
        <mc:AlternateContent>
          <mc:Choice Requires="wps">
            <w:drawing>
              <wp:anchor distT="0" distB="0" distL="114300" distR="114300" simplePos="0" relativeHeight="251659264" behindDoc="0" locked="0" layoutInCell="1" allowOverlap="1" wp14:anchorId="0A5E2A0F" wp14:editId="59802F75">
                <wp:simplePos x="0" y="0"/>
                <wp:positionH relativeFrom="column">
                  <wp:posOffset>-3547745</wp:posOffset>
                </wp:positionH>
                <wp:positionV relativeFrom="paragraph">
                  <wp:posOffset>4465955</wp:posOffset>
                </wp:positionV>
                <wp:extent cx="1720850" cy="1200150"/>
                <wp:effectExtent l="0" t="0" r="0" b="0"/>
                <wp:wrapNone/>
                <wp:docPr id="16" name="Szövegdoboz 11"/>
                <wp:cNvGraphicFramePr/>
                <a:graphic xmlns:a="http://schemas.openxmlformats.org/drawingml/2006/main">
                  <a:graphicData uri="http://schemas.microsoft.com/office/word/2010/wordprocessingShape">
                    <wps:wsp>
                      <wps:cNvSpPr txBox="1"/>
                      <wps:spPr>
                        <a:xfrm>
                          <a:off x="0" y="0"/>
                          <a:ext cx="1720850" cy="1200150"/>
                        </a:xfrm>
                        <a:prstGeom prst="rect">
                          <a:avLst/>
                        </a:prstGeom>
                        <a:noFill/>
                      </wps:spPr>
                      <wps:txbx>
                        <w:txbxContent>
                          <w:p w14:paraId="5D094B44" w14:textId="77777777" w:rsidR="00EC10C5" w:rsidRDefault="00EC10C5" w:rsidP="001E0AAE">
                            <w:pPr>
                              <w:pStyle w:val="NormlWeb"/>
                              <w:spacing w:before="0" w:beforeAutospacing="0" w:after="0" w:afterAutospacing="0"/>
                            </w:pPr>
                            <w:r>
                              <w:rPr>
                                <w:rFonts w:asciiTheme="minorHAnsi" w:hAnsi="Calibri" w:cstheme="minorBidi"/>
                                <w:b/>
                                <w:bCs/>
                                <w:color w:val="000000" w:themeColor="text1"/>
                                <w:kern w:val="24"/>
                                <w:sz w:val="48"/>
                                <w:szCs w:val="48"/>
                              </w:rPr>
                              <w:t>PIACI NÖVEKEDÉS ÜTEME</w:t>
                            </w:r>
                          </w:p>
                        </w:txbxContent>
                      </wps:txbx>
                      <wps:bodyPr wrap="square" rtlCol="0">
                        <a:spAutoFit/>
                      </wps:bodyPr>
                    </wps:wsp>
                  </a:graphicData>
                </a:graphic>
              </wp:anchor>
            </w:drawing>
          </mc:Choice>
          <mc:Fallback>
            <w:pict>
              <v:shape w14:anchorId="0A5E2A0F" id="Szövegdoboz 11" o:spid="_x0000_s1030" type="#_x0000_t202" style="position:absolute;left:0;text-align:left;margin-left:-279.35pt;margin-top:351.65pt;width:135.5pt;height: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" filled="f" stroked="f">
                <v:textbox style="mso-fit-shape-to-text:t">
                  <w:txbxContent>
                    <w:p w14:paraId="5D094B44" w14:textId="77777777" w:rsidR="00EC10C5" w:rsidRDefault="00EC10C5" w:rsidP="001E0AAE">
                      <w:pPr>
                        <w:pStyle w:val="NormalWeb"/>
                        <w:spacing w:before="0" w:beforeAutospacing="0" w:after="0" w:afterAutospacing="0"/>
                      </w:pPr>
                      <w:r>
                        <w:rPr>
                          <w:rFonts w:asciiTheme="minorHAnsi" w:hAnsi="Calibri" w:cstheme="minorBidi"/>
                          <w:b/>
                          <w:bCs/>
                          <w:color w:val="000000" w:themeColor="text1"/>
                          <w:kern w:val="24"/>
                          <w:sz w:val="48"/>
                          <w:szCs w:val="48"/>
                        </w:rPr>
                        <w:t>PIACI NÖVEKEDÉS ÜTEME</w:t>
                      </w:r>
                    </w:p>
                  </w:txbxContent>
                </v:textbox>
              </v:shape>
            </w:pict>
          </mc:Fallback>
        </mc:AlternateContent>
      </w:r>
      <w:r w:rsidRPr="00CB0A5E">
        <w:rPr>
          <w:rFonts w:cs="Times New Roman"/>
          <w:szCs w:val="24"/>
        </w:rPr>
        <w:t xml:space="preserve">A különböző stratégiai üzletágak (SBU) </w:t>
      </w:r>
      <w:proofErr w:type="spellStart"/>
      <w:r w:rsidRPr="00CB0A5E">
        <w:rPr>
          <w:rFonts w:cs="Times New Roman"/>
          <w:szCs w:val="24"/>
        </w:rPr>
        <w:t>vonzerejének</w:t>
      </w:r>
      <w:proofErr w:type="spellEnd"/>
      <w:r w:rsidRPr="00CB0A5E">
        <w:rPr>
          <w:rFonts w:cs="Times New Roman"/>
          <w:szCs w:val="24"/>
        </w:rPr>
        <w:t xml:space="preserve"> megítélése </w:t>
      </w:r>
    </w:p>
    <w:p w14:paraId="489968C9" w14:textId="77777777" w:rsidR="001E0AAE" w:rsidRPr="00CB0A5E" w:rsidRDefault="001E0AAE" w:rsidP="00EC10C5">
      <w:pPr>
        <w:pStyle w:val="Listaszerbekezds"/>
        <w:numPr>
          <w:ilvl w:val="0"/>
          <w:numId w:val="9"/>
        </w:numPr>
        <w:spacing w:after="60" w:line="240" w:lineRule="auto"/>
        <w:ind w:left="567" w:firstLine="709"/>
        <w:rPr>
          <w:rFonts w:cs="Times New Roman"/>
          <w:szCs w:val="24"/>
        </w:rPr>
      </w:pPr>
      <w:r w:rsidRPr="00CB0A5E">
        <w:rPr>
          <w:rFonts w:cs="Times New Roman"/>
          <w:szCs w:val="24"/>
        </w:rPr>
        <w:t>Annak meghatározása, milyen támogatást kapjanak az egyes SBU-k</w:t>
      </w:r>
    </w:p>
    <w:p w14:paraId="4055D53D"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Cs/>
          <w:sz w:val="24"/>
          <w:szCs w:val="24"/>
        </w:rPr>
        <w:t>Az első lépésben kialakításra kerülnek a stratégiai üzletágak (</w:t>
      </w:r>
      <w:proofErr w:type="spellStart"/>
      <w:r w:rsidRPr="00CB0A5E">
        <w:rPr>
          <w:rFonts w:ascii="Times New Roman" w:hAnsi="Times New Roman" w:cs="Times New Roman"/>
          <w:bCs/>
          <w:sz w:val="24"/>
          <w:szCs w:val="24"/>
        </w:rPr>
        <w:t>Strategic</w:t>
      </w:r>
      <w:proofErr w:type="spellEnd"/>
      <w:r w:rsidRPr="00CB0A5E">
        <w:rPr>
          <w:rFonts w:ascii="Times New Roman" w:hAnsi="Times New Roman" w:cs="Times New Roman"/>
          <w:bCs/>
          <w:sz w:val="24"/>
          <w:szCs w:val="24"/>
        </w:rPr>
        <w:t xml:space="preserve"> Business </w:t>
      </w:r>
      <w:proofErr w:type="spellStart"/>
      <w:r w:rsidRPr="00CB0A5E">
        <w:rPr>
          <w:rFonts w:ascii="Times New Roman" w:hAnsi="Times New Roman" w:cs="Times New Roman"/>
          <w:bCs/>
          <w:sz w:val="24"/>
          <w:szCs w:val="24"/>
        </w:rPr>
        <w:t>Units</w:t>
      </w:r>
      <w:proofErr w:type="spellEnd"/>
      <w:r w:rsidRPr="00CB0A5E">
        <w:rPr>
          <w:rFonts w:ascii="Times New Roman" w:hAnsi="Times New Roman" w:cs="Times New Roman"/>
          <w:bCs/>
          <w:sz w:val="24"/>
          <w:szCs w:val="24"/>
        </w:rPr>
        <w:t xml:space="preserve"> – SBU), amelyben a vállalat meghatározza, milyen egységekre bontva kívánja a szervezetet elemezni. Stratégiai üzletág lehet egy vállalati divízió, üzleti egység, vagy akár márka, termékkategória.</w:t>
      </w:r>
    </w:p>
    <w:p w14:paraId="37E2666B" w14:textId="77777777" w:rsidR="001E0AAE" w:rsidRPr="00CB0A5E" w:rsidRDefault="001E0AAE" w:rsidP="00EC10C5">
      <w:pPr>
        <w:pStyle w:val="Stlus1"/>
      </w:pPr>
      <w:bookmarkStart w:id="7" w:name="_Toc18440801"/>
      <w:r w:rsidRPr="00CB0A5E">
        <w:t>BCG növekedési-piacrészesedési mátrixa</w:t>
      </w:r>
      <w:bookmarkEnd w:id="7"/>
      <w:r w:rsidRPr="00CB0A5E">
        <w:t xml:space="preserve"> </w:t>
      </w:r>
    </w:p>
    <w:p w14:paraId="037FE7DF" w14:textId="77777777" w:rsidR="001E0AAE" w:rsidRPr="00CB0A5E" w:rsidRDefault="001E0AAE"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 xml:space="preserve">Annak megítélésére, hogy a különböző stratégiai üzletágak piaci helyzete mennyire vonzó lehetőségeket kínálnak, a vállalatok átfogó, komplex elemzéseket alkalmaznak. Az egyik legismertebb modell a </w:t>
      </w:r>
      <w:r w:rsidRPr="00CB0A5E">
        <w:rPr>
          <w:rFonts w:ascii="Times New Roman" w:hAnsi="Times New Roman" w:cs="Times New Roman"/>
          <w:b/>
          <w:bCs/>
          <w:sz w:val="24"/>
          <w:szCs w:val="24"/>
        </w:rPr>
        <w:t>Boston Consulting Group</w:t>
      </w:r>
      <w:r w:rsidRPr="00CB0A5E">
        <w:rPr>
          <w:rFonts w:ascii="Times New Roman" w:hAnsi="Times New Roman" w:cs="Times New Roman"/>
          <w:bCs/>
          <w:sz w:val="24"/>
          <w:szCs w:val="24"/>
        </w:rPr>
        <w:t xml:space="preserve"> modellje, amely a vállalat stratégiai üzletágait azok relatív piaci részesedésének mértéke és a piaci növekedés várható üteme alapján értékeli.</w:t>
      </w:r>
    </w:p>
    <w:p w14:paraId="5CEF170C" w14:textId="77777777" w:rsidR="001E0AAE" w:rsidRPr="00CB0A5E" w:rsidRDefault="001E0AAE" w:rsidP="00EC10C5">
      <w:pPr>
        <w:spacing w:after="60" w:line="240" w:lineRule="auto"/>
        <w:ind w:firstLine="709"/>
        <w:jc w:val="both"/>
        <w:rPr>
          <w:rFonts w:ascii="Times New Roman" w:hAnsi="Times New Roman" w:cs="Times New Roman"/>
          <w:bCs/>
          <w:sz w:val="24"/>
          <w:szCs w:val="24"/>
        </w:rPr>
      </w:pPr>
    </w:p>
    <w:p w14:paraId="5B541AAC" w14:textId="791DE43A" w:rsidR="001E0AAE" w:rsidRPr="009A244E" w:rsidRDefault="001E0AAE" w:rsidP="00EC10C5">
      <w:pPr>
        <w:pStyle w:val="Kpalrs"/>
        <w:spacing w:after="60"/>
        <w:ind w:firstLine="709"/>
        <w:jc w:val="center"/>
        <w:rPr>
          <w:rFonts w:ascii="Times New Roman" w:hAnsi="Times New Roman" w:cs="Times New Roman"/>
          <w:b/>
          <w:bCs/>
          <w:i w:val="0"/>
          <w:color w:val="000000" w:themeColor="text1"/>
          <w:sz w:val="24"/>
          <w:szCs w:val="24"/>
        </w:rPr>
      </w:pPr>
      <w:r w:rsidRPr="009A244E">
        <w:rPr>
          <w:rFonts w:ascii="Times New Roman" w:hAnsi="Times New Roman" w:cs="Times New Roman"/>
          <w:b/>
          <w:bCs/>
          <w:i w:val="0"/>
          <w:color w:val="000000" w:themeColor="text1"/>
          <w:sz w:val="24"/>
          <w:szCs w:val="24"/>
        </w:rPr>
        <w:fldChar w:fldCharType="begin"/>
      </w:r>
      <w:r w:rsidRPr="009A244E">
        <w:rPr>
          <w:rFonts w:ascii="Times New Roman" w:hAnsi="Times New Roman" w:cs="Times New Roman"/>
          <w:b/>
          <w:bCs/>
          <w:i w:val="0"/>
          <w:color w:val="000000" w:themeColor="text1"/>
          <w:sz w:val="24"/>
          <w:szCs w:val="24"/>
        </w:rPr>
        <w:instrText xml:space="preserve"> SEQ ábra \* ARABIC </w:instrText>
      </w:r>
      <w:r w:rsidRPr="009A244E">
        <w:rPr>
          <w:rFonts w:ascii="Times New Roman" w:hAnsi="Times New Roman" w:cs="Times New Roman"/>
          <w:b/>
          <w:bCs/>
          <w:i w:val="0"/>
          <w:color w:val="000000" w:themeColor="text1"/>
          <w:sz w:val="24"/>
          <w:szCs w:val="24"/>
        </w:rPr>
        <w:fldChar w:fldCharType="separate"/>
      </w:r>
      <w:r w:rsidR="006C213D">
        <w:rPr>
          <w:rFonts w:ascii="Times New Roman" w:hAnsi="Times New Roman" w:cs="Times New Roman"/>
          <w:b/>
          <w:bCs/>
          <w:i w:val="0"/>
          <w:noProof/>
          <w:color w:val="000000" w:themeColor="text1"/>
          <w:sz w:val="24"/>
          <w:szCs w:val="24"/>
        </w:rPr>
        <w:t>2</w:t>
      </w:r>
      <w:r w:rsidRPr="009A244E">
        <w:rPr>
          <w:rFonts w:ascii="Times New Roman" w:hAnsi="Times New Roman" w:cs="Times New Roman"/>
          <w:b/>
          <w:bCs/>
          <w:i w:val="0"/>
          <w:color w:val="000000" w:themeColor="text1"/>
          <w:sz w:val="24"/>
          <w:szCs w:val="24"/>
        </w:rPr>
        <w:fldChar w:fldCharType="end"/>
      </w:r>
      <w:r w:rsidRPr="009A244E">
        <w:rPr>
          <w:rFonts w:ascii="Times New Roman" w:hAnsi="Times New Roman" w:cs="Times New Roman"/>
          <w:b/>
          <w:i w:val="0"/>
          <w:color w:val="000000" w:themeColor="text1"/>
          <w:sz w:val="24"/>
          <w:szCs w:val="24"/>
        </w:rPr>
        <w:t>. ábra BCG mátrix</w:t>
      </w:r>
    </w:p>
    <w:p w14:paraId="4490273A" w14:textId="0A63C6F1" w:rsidR="001E0AAE" w:rsidRPr="00CB0A5E" w:rsidRDefault="003B0589" w:rsidP="00EC10C5">
      <w:pPr>
        <w:spacing w:after="60" w:line="240" w:lineRule="auto"/>
        <w:ind w:firstLine="709"/>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278526A" wp14:editId="0860F355">
            <wp:extent cx="4901565" cy="2566670"/>
            <wp:effectExtent l="0" t="0" r="0" b="0"/>
            <wp:docPr id="127045220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1565" cy="2566670"/>
                    </a:xfrm>
                    <a:prstGeom prst="rect">
                      <a:avLst/>
                    </a:prstGeom>
                    <a:noFill/>
                  </pic:spPr>
                </pic:pic>
              </a:graphicData>
            </a:graphic>
          </wp:inline>
        </w:drawing>
      </w:r>
    </w:p>
    <w:p w14:paraId="693DC7BD" w14:textId="77777777" w:rsidR="001E0AAE" w:rsidRPr="00CB0A5E" w:rsidRDefault="00062572" w:rsidP="00EC10C5">
      <w:pPr>
        <w:spacing w:after="60" w:line="240" w:lineRule="auto"/>
        <w:ind w:left="707" w:firstLine="709"/>
        <w:jc w:val="both"/>
        <w:rPr>
          <w:rFonts w:ascii="Times New Roman" w:hAnsi="Times New Roman" w:cs="Times New Roman"/>
          <w:i/>
          <w:sz w:val="24"/>
          <w:szCs w:val="24"/>
        </w:rPr>
      </w:pPr>
      <w:r>
        <w:rPr>
          <w:rFonts w:ascii="Times New Roman" w:hAnsi="Times New Roman" w:cs="Times New Roman"/>
          <w:i/>
          <w:sz w:val="24"/>
          <w:szCs w:val="24"/>
        </w:rPr>
        <w:t>F</w:t>
      </w:r>
      <w:r w:rsidR="001E0AAE" w:rsidRPr="00CB0A5E">
        <w:rPr>
          <w:rFonts w:ascii="Times New Roman" w:hAnsi="Times New Roman" w:cs="Times New Roman"/>
          <w:i/>
          <w:sz w:val="24"/>
          <w:szCs w:val="24"/>
        </w:rPr>
        <w:t xml:space="preserve">orrás: </w:t>
      </w:r>
      <w:proofErr w:type="spellStart"/>
      <w:r w:rsidR="001E0AAE" w:rsidRPr="00CB0A5E">
        <w:rPr>
          <w:rFonts w:ascii="Times New Roman" w:hAnsi="Times New Roman" w:cs="Times New Roman"/>
          <w:i/>
          <w:sz w:val="24"/>
          <w:szCs w:val="24"/>
        </w:rPr>
        <w:t>Kotler-Amstrong</w:t>
      </w:r>
      <w:proofErr w:type="spellEnd"/>
      <w:r w:rsidR="001E0AAE" w:rsidRPr="00CB0A5E">
        <w:rPr>
          <w:rFonts w:ascii="Times New Roman" w:hAnsi="Times New Roman" w:cs="Times New Roman"/>
          <w:i/>
          <w:sz w:val="24"/>
          <w:szCs w:val="24"/>
        </w:rPr>
        <w:t xml:space="preserve"> (2017)</w:t>
      </w:r>
    </w:p>
    <w:p w14:paraId="02249E8A" w14:textId="77777777" w:rsidR="001E0AAE" w:rsidRPr="00CB0A5E" w:rsidRDefault="001E0AAE" w:rsidP="00EC10C5">
      <w:pPr>
        <w:spacing w:after="60" w:line="240" w:lineRule="auto"/>
        <w:ind w:firstLine="709"/>
        <w:jc w:val="both"/>
        <w:rPr>
          <w:rFonts w:ascii="Times New Roman" w:hAnsi="Times New Roman" w:cs="Times New Roman"/>
          <w:b/>
          <w:bCs/>
          <w:sz w:val="24"/>
          <w:szCs w:val="24"/>
        </w:rPr>
      </w:pPr>
    </w:p>
    <w:p w14:paraId="51E2D7CB" w14:textId="77777777" w:rsidR="001E0AAE" w:rsidRPr="00CB0A5E" w:rsidRDefault="001E0AAE" w:rsidP="00EC10C5">
      <w:pPr>
        <w:spacing w:after="60" w:line="240" w:lineRule="auto"/>
        <w:ind w:firstLine="709"/>
        <w:jc w:val="both"/>
        <w:rPr>
          <w:rFonts w:ascii="Times New Roman" w:hAnsi="Times New Roman" w:cs="Times New Roman"/>
          <w:b/>
          <w:bCs/>
          <w:sz w:val="24"/>
          <w:szCs w:val="24"/>
        </w:rPr>
      </w:pPr>
      <w:r w:rsidRPr="00CB0A5E">
        <w:rPr>
          <w:rFonts w:ascii="Times New Roman" w:hAnsi="Times New Roman" w:cs="Times New Roman"/>
          <w:b/>
          <w:bCs/>
          <w:sz w:val="24"/>
          <w:szCs w:val="24"/>
        </w:rPr>
        <w:t xml:space="preserve">A mátrix alapján négy csoportba sorolhatjuk a vállalat stratégiai üzletágait: </w:t>
      </w:r>
    </w:p>
    <w:p w14:paraId="067D616A" w14:textId="77777777" w:rsidR="001E0AAE" w:rsidRPr="00CB0A5E" w:rsidRDefault="001E0AAE" w:rsidP="00EC10C5">
      <w:pPr>
        <w:pStyle w:val="Listaszerbekezds"/>
        <w:numPr>
          <w:ilvl w:val="0"/>
          <w:numId w:val="10"/>
        </w:numPr>
        <w:spacing w:after="60" w:line="240" w:lineRule="auto"/>
        <w:ind w:left="567" w:firstLine="709"/>
        <w:rPr>
          <w:rFonts w:cs="Times New Roman"/>
          <w:b/>
          <w:bCs/>
          <w:szCs w:val="24"/>
        </w:rPr>
      </w:pPr>
      <w:r w:rsidRPr="00CB0A5E">
        <w:rPr>
          <w:rFonts w:cs="Times New Roman"/>
          <w:b/>
          <w:bCs/>
          <w:szCs w:val="24"/>
        </w:rPr>
        <w:t xml:space="preserve">Sztárok </w:t>
      </w:r>
      <w:r w:rsidRPr="00CB0A5E">
        <w:rPr>
          <w:rFonts w:cs="Times New Roman"/>
          <w:bCs/>
          <w:szCs w:val="24"/>
        </w:rPr>
        <w:t xml:space="preserve">– az SBU magas piaci részesedéssel rendelkezik a piacon, és a piac növekedési potenciálja is magas. Sikeres üzletág további növekedési lehetőséggel. </w:t>
      </w:r>
      <w:r w:rsidRPr="00CB0A5E">
        <w:rPr>
          <w:rFonts w:cs="Times New Roman"/>
          <w:bCs/>
          <w:szCs w:val="24"/>
        </w:rPr>
        <w:lastRenderedPageBreak/>
        <w:t>Piacvezetőként már jelentős nyereséget termelnek, így a stratégia az értékesítés és/ vagy a piaci részesedés növelése. Nagy befektetést igényelnek, hogy megtarthassák, vagy növeljék a piaci részesedésüket, és azért, hogy megtarthassák a piaci pozíciójukat. Ők a jövő fejős tehenei.</w:t>
      </w:r>
    </w:p>
    <w:p w14:paraId="130EE1BF" w14:textId="77777777" w:rsidR="001E0AAE" w:rsidRPr="00CB0A5E" w:rsidRDefault="001E0AAE" w:rsidP="00EC10C5">
      <w:pPr>
        <w:pStyle w:val="Listaszerbekezds"/>
        <w:numPr>
          <w:ilvl w:val="0"/>
          <w:numId w:val="10"/>
        </w:numPr>
        <w:spacing w:after="60" w:line="240" w:lineRule="auto"/>
        <w:ind w:left="567" w:firstLine="709"/>
        <w:rPr>
          <w:rFonts w:cs="Times New Roman"/>
          <w:b/>
          <w:bCs/>
          <w:szCs w:val="24"/>
        </w:rPr>
      </w:pPr>
      <w:r w:rsidRPr="00CB0A5E">
        <w:rPr>
          <w:rFonts w:cs="Times New Roman"/>
          <w:b/>
          <w:bCs/>
          <w:szCs w:val="24"/>
        </w:rPr>
        <w:t xml:space="preserve">Fejőstehenek – </w:t>
      </w:r>
      <w:r w:rsidRPr="00CB0A5E">
        <w:rPr>
          <w:rFonts w:cs="Times New Roman"/>
          <w:bCs/>
          <w:szCs w:val="24"/>
        </w:rPr>
        <w:t>magas piaci részesedéssel bíró üzletág alacsony növekedési potenciállal jellemezhető piacon. A vállalat az adott piacon meghatározó szerepet tölt be, de már nem várható növekedés.</w:t>
      </w:r>
      <w:r w:rsidRPr="00CB0A5E">
        <w:rPr>
          <w:rFonts w:cs="Times New Roman"/>
          <w:b/>
          <w:bCs/>
          <w:szCs w:val="24"/>
        </w:rPr>
        <w:t xml:space="preserve"> </w:t>
      </w:r>
      <w:r w:rsidRPr="00CB0A5E">
        <w:rPr>
          <w:rFonts w:cs="Times New Roman"/>
          <w:bCs/>
          <w:szCs w:val="24"/>
        </w:rPr>
        <w:t xml:space="preserve">Kevesebb forrást igényelnek a piaci részesedés megtartásához. </w:t>
      </w:r>
    </w:p>
    <w:p w14:paraId="3CF725BE" w14:textId="77777777" w:rsidR="001E0AAE" w:rsidRPr="00CB0A5E" w:rsidRDefault="001E0AAE" w:rsidP="00EC10C5">
      <w:pPr>
        <w:pStyle w:val="Listaszerbekezds"/>
        <w:numPr>
          <w:ilvl w:val="0"/>
          <w:numId w:val="10"/>
        </w:numPr>
        <w:spacing w:after="60" w:line="240" w:lineRule="auto"/>
        <w:ind w:left="567" w:firstLine="709"/>
        <w:rPr>
          <w:rFonts w:cs="Times New Roman"/>
          <w:b/>
          <w:bCs/>
          <w:szCs w:val="24"/>
        </w:rPr>
      </w:pPr>
      <w:r w:rsidRPr="00CB0A5E">
        <w:rPr>
          <w:rFonts w:cs="Times New Roman"/>
          <w:b/>
          <w:bCs/>
          <w:szCs w:val="24"/>
        </w:rPr>
        <w:t xml:space="preserve">Kérdőjelek </w:t>
      </w:r>
      <w:r w:rsidRPr="00CB0A5E">
        <w:rPr>
          <w:rFonts w:cs="Times New Roman"/>
          <w:bCs/>
          <w:szCs w:val="24"/>
        </w:rPr>
        <w:t>– az üzletág piaci részesedése alacsony az adott piacon, de a piac növekedési potenciálja jelentős. Ebben a helyzetben az SBU helyzete bizonytalan, és bizonyos tekintetben a vállalat kezében van. Ha az iparág vonzó a vállalat számára, akkor megfelelő stratégiával a cég támogathatja az SBU-t erősebb marketinggel, amely által növelheti piaci részesedését, és kérdőjelből sztárrá válhat.</w:t>
      </w:r>
    </w:p>
    <w:p w14:paraId="706FBD31" w14:textId="77777777" w:rsidR="001E0AAE" w:rsidRPr="00CB0A5E" w:rsidRDefault="001E0AAE" w:rsidP="00EC10C5">
      <w:pPr>
        <w:pStyle w:val="Listaszerbekezds"/>
        <w:numPr>
          <w:ilvl w:val="0"/>
          <w:numId w:val="10"/>
        </w:numPr>
        <w:spacing w:after="60" w:line="240" w:lineRule="auto"/>
        <w:ind w:left="567" w:firstLine="709"/>
        <w:rPr>
          <w:rFonts w:cs="Times New Roman"/>
          <w:b/>
          <w:bCs/>
          <w:szCs w:val="24"/>
        </w:rPr>
      </w:pPr>
      <w:r w:rsidRPr="00CB0A5E">
        <w:rPr>
          <w:rFonts w:cs="Times New Roman"/>
          <w:b/>
          <w:bCs/>
          <w:szCs w:val="24"/>
        </w:rPr>
        <w:t xml:space="preserve">Kutyák </w:t>
      </w:r>
      <w:r w:rsidRPr="00CB0A5E">
        <w:rPr>
          <w:rFonts w:cs="Times New Roman"/>
          <w:bCs/>
          <w:szCs w:val="24"/>
        </w:rPr>
        <w:t>– Az adott iparágban a növekedés üteme nem jelentős, és a vállalat</w:t>
      </w:r>
      <w:r w:rsidRPr="00CB0A5E">
        <w:rPr>
          <w:rFonts w:cs="Times New Roman"/>
          <w:b/>
          <w:bCs/>
          <w:szCs w:val="24"/>
        </w:rPr>
        <w:t xml:space="preserve"> </w:t>
      </w:r>
      <w:r w:rsidRPr="00CB0A5E">
        <w:rPr>
          <w:rFonts w:cs="Times New Roman"/>
          <w:bCs/>
          <w:szCs w:val="24"/>
        </w:rPr>
        <w:t xml:space="preserve">piaci részesedése kicsi. Ugyanakkor előfordulhat, hogy az üzletág stabilan fenn tudja tartani magát, de nem remélhetünk nagy nyereséget tőle. </w:t>
      </w:r>
    </w:p>
    <w:p w14:paraId="09B9F278" w14:textId="77777777" w:rsidR="001E0AAE" w:rsidRPr="00CB0A5E" w:rsidRDefault="001E0AAE"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 xml:space="preserve">Az egyes SBU-k besorolása után a vállalatnak el kell döntenie, hogy milyen szerepet szánnak a jövőben az egyes üzletágaknak. Van, amelyikbe befektetnek, hogy növekedni tudjon, növelje a piaci részesedését. Lehetnek olyan üzletágak, ahol a piaci pozíció megtartása a cél, míg más esetben a piac gyors lefölözése mellett dönthet a vállalat, a hosszú távú következményekkel nem törődve. Végül a vezetés dönthet úgy, hogy eladja az üzletágat. </w:t>
      </w:r>
    </w:p>
    <w:p w14:paraId="3D97AE33" w14:textId="77777777" w:rsidR="001E0AAE" w:rsidRPr="00CB0A5E" w:rsidRDefault="001E0AAE"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 xml:space="preserve">Idővel az egyes üzletágak pozíciója változhat a mátrixban. A kérdőjelekből például sztár lehet, ha sikeres stratégiát követett a cég, mások az életgörbéjük hanyatló időszakába kerülve döglött kutyák lesznek. </w:t>
      </w:r>
    </w:p>
    <w:p w14:paraId="7F02B4BD" w14:textId="77777777" w:rsidR="001E0AAE" w:rsidRDefault="001E0AAE"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 xml:space="preserve">A BCG mátrix megközelítést népszerűsége ellenére sokan kritikával illették. Többen úgy vélték, hogy az elemzés kivitelezése nagyon költség- és időigényes. Sok menedzser nehéznek találta az SBU-k növekedési lehetőségeinek meghatározását a gyorsan változó piaci környezetben. Voltak, akik szerint az elemzés túlságosan a jelenleg meglévő üzletágakra koncentrál, kevéssé tud a jövőbeli tervezésben segítséget nyújtani. </w:t>
      </w:r>
    </w:p>
    <w:p w14:paraId="25DCAB2D" w14:textId="77777777" w:rsidR="009A244E" w:rsidRPr="00CB0A5E" w:rsidRDefault="009A244E" w:rsidP="00EC10C5">
      <w:pPr>
        <w:spacing w:after="60" w:line="240" w:lineRule="auto"/>
        <w:ind w:firstLine="709"/>
        <w:jc w:val="both"/>
        <w:rPr>
          <w:rFonts w:ascii="Times New Roman" w:hAnsi="Times New Roman" w:cs="Times New Roman"/>
          <w:bCs/>
          <w:sz w:val="24"/>
          <w:szCs w:val="24"/>
        </w:rPr>
      </w:pPr>
    </w:p>
    <w:p w14:paraId="1D9FA236" w14:textId="77777777" w:rsidR="001E0AAE" w:rsidRPr="00CB0A5E" w:rsidRDefault="001E0AAE" w:rsidP="00EC10C5">
      <w:pPr>
        <w:pStyle w:val="Stlus1"/>
      </w:pPr>
      <w:bookmarkStart w:id="8" w:name="_Toc18440802"/>
      <w:r w:rsidRPr="00CB0A5E">
        <w:t xml:space="preserve">Növekedési stratégiák – </w:t>
      </w:r>
      <w:proofErr w:type="spellStart"/>
      <w:r w:rsidRPr="00CB0A5E">
        <w:t>Ansoff</w:t>
      </w:r>
      <w:proofErr w:type="spellEnd"/>
      <w:r w:rsidRPr="00CB0A5E">
        <w:t xml:space="preserve"> mátrix alapján</w:t>
      </w:r>
      <w:bookmarkEnd w:id="8"/>
    </w:p>
    <w:p w14:paraId="101EA253"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Az </w:t>
      </w:r>
      <w:proofErr w:type="spellStart"/>
      <w:r w:rsidRPr="00CB0A5E">
        <w:rPr>
          <w:rFonts w:ascii="Times New Roman" w:hAnsi="Times New Roman" w:cs="Times New Roman"/>
          <w:b/>
          <w:sz w:val="24"/>
          <w:szCs w:val="24"/>
        </w:rPr>
        <w:t>Ansoff</w:t>
      </w:r>
      <w:proofErr w:type="spellEnd"/>
      <w:r w:rsidRPr="00CB0A5E">
        <w:rPr>
          <w:rFonts w:ascii="Times New Roman" w:hAnsi="Times New Roman" w:cs="Times New Roman"/>
          <w:b/>
          <w:sz w:val="24"/>
          <w:szCs w:val="24"/>
        </w:rPr>
        <w:t>-mátrix</w:t>
      </w:r>
      <w:r w:rsidRPr="00CB0A5E">
        <w:rPr>
          <w:rFonts w:ascii="Times New Roman" w:hAnsi="Times New Roman" w:cs="Times New Roman"/>
          <w:sz w:val="24"/>
          <w:szCs w:val="24"/>
        </w:rPr>
        <w:t xml:space="preserve"> a vállalat növekedési stratégiáira koncentrál, két dimenzió alapján: a termék (amit el akar adni a vállalat) és a piac (akinek el akarja adni). Két lehetőséget vizsgál mindkét dimenzióban: új vagy meglévő termék / piac. A hatékony növekedési potenciál elemzéséhez a vállalat négy stratégia közül választhat: piackiaknázás, piacfejlesztés, termékfejlesztés, diverzifikáció. </w:t>
      </w:r>
    </w:p>
    <w:p w14:paraId="0246002E"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A piackiaknázás </w:t>
      </w:r>
      <w:r w:rsidRPr="00CB0A5E">
        <w:rPr>
          <w:rFonts w:ascii="Times New Roman" w:hAnsi="Times New Roman" w:cs="Times New Roman"/>
          <w:sz w:val="24"/>
          <w:szCs w:val="24"/>
        </w:rPr>
        <w:t xml:space="preserve">egy meglehetősen alacsony kockázatú növekedési stratégia, amely meglévő termék eladásának növelését célozza meg a meglévő piacon. Jellemzően két célja lehet a stratégiának: a piaci részesedés növelése, a gyakoribb termékhasználat ösztönzése a meglévő ügyfeleknél. Általában a marketing mix intenzívebb használata jellemzi, például új színek megjelenése, erőteljesebb reklámtevékenység. </w:t>
      </w:r>
    </w:p>
    <w:p w14:paraId="528196C3"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piacfejlesztés</w:t>
      </w:r>
      <w:r w:rsidRPr="00CB0A5E">
        <w:rPr>
          <w:rFonts w:ascii="Times New Roman" w:hAnsi="Times New Roman" w:cs="Times New Roman"/>
          <w:sz w:val="24"/>
          <w:szCs w:val="24"/>
        </w:rPr>
        <w:t xml:space="preserve"> során meglévő terméket új piacon szeretnénk eladni. Ez lehet egy új ország, régió, vagy új demográfiai csoport (pl. férfiak számára piacra dobott arckrém), új értékesítési csatorna (pl. online webshop), új szegmens. Ez a stratégia közepes kockázattal jár, amennyiben a vállalat kevés tapasztalattal rendelkezik az adott piacon. </w:t>
      </w:r>
    </w:p>
    <w:p w14:paraId="50819D91"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termékfejlesztés</w:t>
      </w:r>
      <w:r w:rsidRPr="00CB0A5E">
        <w:rPr>
          <w:rFonts w:ascii="Times New Roman" w:hAnsi="Times New Roman" w:cs="Times New Roman"/>
          <w:sz w:val="24"/>
          <w:szCs w:val="24"/>
        </w:rPr>
        <w:t xml:space="preserve"> egy olyan növekedési stratégia, amely során a vállalat a meglévő piac számára kínál új terméket. Az új termék lehet például egy új elem a termékcsaládban, vagy lehet innováció. Közepesen kockázatos stratégia.</w:t>
      </w:r>
    </w:p>
    <w:p w14:paraId="1786B5A5"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lastRenderedPageBreak/>
        <w:t xml:space="preserve">Diverzifikáció </w:t>
      </w:r>
      <w:r w:rsidRPr="00CB0A5E">
        <w:rPr>
          <w:rFonts w:ascii="Times New Roman" w:hAnsi="Times New Roman" w:cs="Times New Roman"/>
          <w:sz w:val="24"/>
          <w:szCs w:val="24"/>
        </w:rPr>
        <w:t xml:space="preserve">– új termék bevezetése egy új piacra. A leginkább kockázatos stratégia, főleg, ha nem a vállalat alapvető kompetenciáira épül. </w:t>
      </w:r>
    </w:p>
    <w:p w14:paraId="25F338FC" w14:textId="591B04E8" w:rsidR="001E0AAE" w:rsidRPr="009A244E" w:rsidRDefault="001E0AAE" w:rsidP="00EC10C5">
      <w:pPr>
        <w:pStyle w:val="Kpalrs"/>
        <w:spacing w:after="60"/>
        <w:ind w:firstLine="709"/>
        <w:jc w:val="center"/>
        <w:rPr>
          <w:rFonts w:ascii="Times New Roman" w:hAnsi="Times New Roman" w:cs="Times New Roman"/>
          <w:b/>
          <w:i w:val="0"/>
          <w:color w:val="000000" w:themeColor="text1"/>
          <w:sz w:val="24"/>
          <w:szCs w:val="24"/>
        </w:rPr>
      </w:pPr>
      <w:r w:rsidRPr="009A244E">
        <w:rPr>
          <w:rFonts w:ascii="Times New Roman" w:hAnsi="Times New Roman" w:cs="Times New Roman"/>
          <w:b/>
          <w:i w:val="0"/>
          <w:color w:val="000000" w:themeColor="text1"/>
          <w:sz w:val="24"/>
          <w:szCs w:val="24"/>
        </w:rPr>
        <w:fldChar w:fldCharType="begin"/>
      </w:r>
      <w:r w:rsidRPr="009A244E">
        <w:rPr>
          <w:rFonts w:ascii="Times New Roman" w:hAnsi="Times New Roman" w:cs="Times New Roman"/>
          <w:b/>
          <w:i w:val="0"/>
          <w:color w:val="000000" w:themeColor="text1"/>
          <w:sz w:val="24"/>
          <w:szCs w:val="24"/>
        </w:rPr>
        <w:instrText xml:space="preserve"> SEQ ábra \* ARABIC </w:instrText>
      </w:r>
      <w:r w:rsidRPr="009A244E">
        <w:rPr>
          <w:rFonts w:ascii="Times New Roman" w:hAnsi="Times New Roman" w:cs="Times New Roman"/>
          <w:b/>
          <w:i w:val="0"/>
          <w:color w:val="000000" w:themeColor="text1"/>
          <w:sz w:val="24"/>
          <w:szCs w:val="24"/>
        </w:rPr>
        <w:fldChar w:fldCharType="separate"/>
      </w:r>
      <w:r w:rsidR="006C213D">
        <w:rPr>
          <w:rFonts w:ascii="Times New Roman" w:hAnsi="Times New Roman" w:cs="Times New Roman"/>
          <w:b/>
          <w:i w:val="0"/>
          <w:noProof/>
          <w:color w:val="000000" w:themeColor="text1"/>
          <w:sz w:val="24"/>
          <w:szCs w:val="24"/>
        </w:rPr>
        <w:t>3</w:t>
      </w:r>
      <w:r w:rsidRPr="009A244E">
        <w:rPr>
          <w:rFonts w:ascii="Times New Roman" w:hAnsi="Times New Roman" w:cs="Times New Roman"/>
          <w:b/>
          <w:i w:val="0"/>
          <w:color w:val="000000" w:themeColor="text1"/>
          <w:sz w:val="24"/>
          <w:szCs w:val="24"/>
        </w:rPr>
        <w:fldChar w:fldCharType="end"/>
      </w:r>
      <w:r w:rsidRPr="009A244E">
        <w:rPr>
          <w:rFonts w:ascii="Times New Roman" w:hAnsi="Times New Roman" w:cs="Times New Roman"/>
          <w:b/>
          <w:i w:val="0"/>
          <w:color w:val="000000" w:themeColor="text1"/>
          <w:sz w:val="24"/>
          <w:szCs w:val="24"/>
        </w:rPr>
        <w:t xml:space="preserve">. ábra Az üzleti portfólió meghatározása – </w:t>
      </w:r>
      <w:proofErr w:type="spellStart"/>
      <w:r w:rsidRPr="009A244E">
        <w:rPr>
          <w:rFonts w:ascii="Times New Roman" w:hAnsi="Times New Roman" w:cs="Times New Roman"/>
          <w:b/>
          <w:i w:val="0"/>
          <w:color w:val="000000" w:themeColor="text1"/>
          <w:sz w:val="24"/>
          <w:szCs w:val="24"/>
        </w:rPr>
        <w:t>Ansoff</w:t>
      </w:r>
      <w:proofErr w:type="spellEnd"/>
      <w:r w:rsidRPr="009A244E">
        <w:rPr>
          <w:rFonts w:ascii="Times New Roman" w:hAnsi="Times New Roman" w:cs="Times New Roman"/>
          <w:b/>
          <w:i w:val="0"/>
          <w:color w:val="000000" w:themeColor="text1"/>
          <w:sz w:val="24"/>
          <w:szCs w:val="24"/>
        </w:rPr>
        <w:t xml:space="preserve"> mátrix</w:t>
      </w:r>
    </w:p>
    <w:p w14:paraId="7EDDDE4E"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20A65079" w14:textId="77777777" w:rsidR="001E0AAE" w:rsidRPr="00CB0A5E" w:rsidRDefault="001E0AAE" w:rsidP="00EC10C5">
      <w:pPr>
        <w:spacing w:after="60" w:line="240" w:lineRule="auto"/>
        <w:ind w:firstLine="709"/>
        <w:jc w:val="center"/>
        <w:rPr>
          <w:rFonts w:ascii="Times New Roman" w:hAnsi="Times New Roman" w:cs="Times New Roman"/>
          <w:b/>
          <w:bCs/>
          <w:sz w:val="24"/>
          <w:szCs w:val="24"/>
        </w:rPr>
      </w:pPr>
      <w:r w:rsidRPr="00CB0A5E">
        <w:rPr>
          <w:rFonts w:ascii="Times New Roman" w:hAnsi="Times New Roman" w:cs="Times New Roman"/>
          <w:b/>
          <w:bCs/>
          <w:noProof/>
          <w:sz w:val="24"/>
          <w:szCs w:val="24"/>
          <w:lang w:eastAsia="hu-HU"/>
        </w:rPr>
        <w:drawing>
          <wp:inline distT="0" distB="0" distL="0" distR="0" wp14:anchorId="3A42A8AC" wp14:editId="6FDC1C70">
            <wp:extent cx="4333875" cy="1846231"/>
            <wp:effectExtent l="0" t="0" r="0" b="1905"/>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2592" cy="1849945"/>
                    </a:xfrm>
                    <a:prstGeom prst="rect">
                      <a:avLst/>
                    </a:prstGeom>
                    <a:noFill/>
                  </pic:spPr>
                </pic:pic>
              </a:graphicData>
            </a:graphic>
          </wp:inline>
        </w:drawing>
      </w:r>
    </w:p>
    <w:p w14:paraId="2769E86F" w14:textId="77777777" w:rsidR="001E0AAE" w:rsidRPr="00CB0A5E" w:rsidRDefault="001E0AAE" w:rsidP="00EC10C5">
      <w:pPr>
        <w:spacing w:after="60" w:line="240" w:lineRule="auto"/>
        <w:ind w:left="707"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25069FD3" w14:textId="77777777" w:rsidR="001E0AAE" w:rsidRPr="00CB0A5E" w:rsidRDefault="001E0AAE" w:rsidP="00EC10C5">
      <w:pPr>
        <w:spacing w:after="60" w:line="240" w:lineRule="auto"/>
        <w:ind w:firstLine="709"/>
        <w:jc w:val="both"/>
        <w:rPr>
          <w:rFonts w:ascii="Times New Roman" w:hAnsi="Times New Roman" w:cs="Times New Roman"/>
          <w:b/>
          <w:bCs/>
          <w:sz w:val="24"/>
          <w:szCs w:val="24"/>
        </w:rPr>
      </w:pPr>
    </w:p>
    <w:p w14:paraId="0A2E2FA8" w14:textId="77777777" w:rsidR="001E0AAE" w:rsidRPr="00CB0A5E" w:rsidRDefault="001E0AAE" w:rsidP="00EC10C5">
      <w:pPr>
        <w:pStyle w:val="Stlus1"/>
      </w:pPr>
      <w:bookmarkStart w:id="9" w:name="_Toc1568847"/>
      <w:bookmarkStart w:id="10" w:name="_Toc18440803"/>
      <w:r w:rsidRPr="00CB0A5E">
        <w:t>Marketingtervezés, marketingstratégia</w:t>
      </w:r>
      <w:bookmarkEnd w:id="9"/>
      <w:bookmarkEnd w:id="10"/>
      <w:r w:rsidRPr="00CB0A5E">
        <w:t xml:space="preserve"> </w:t>
      </w:r>
    </w:p>
    <w:p w14:paraId="28E6F6E1" w14:textId="77777777" w:rsidR="001E0AAE" w:rsidRPr="00CB0A5E" w:rsidRDefault="001E0AAE"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sz w:val="24"/>
          <w:szCs w:val="24"/>
        </w:rPr>
        <w:t>A vállalat stratégiája kijelöli az egyes üzletágak szintjén a célokat, melyek alapján az egyes funkcionális részlegek nekilátnak az adott szintnek megfelelő operatív tervek készítésének. Az egyes részlegeknek szorosan együtt kell működniük a stratégiai célok elérése érdekében.</w:t>
      </w:r>
      <w:r w:rsidRPr="00CB0A5E">
        <w:rPr>
          <w:rFonts w:ascii="Times New Roman" w:hAnsi="Times New Roman" w:cs="Times New Roman"/>
          <w:b/>
          <w:sz w:val="24"/>
          <w:szCs w:val="24"/>
        </w:rPr>
        <w:t xml:space="preserve"> </w:t>
      </w:r>
    </w:p>
    <w:p w14:paraId="3F99EE14"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Más részlegekkel történő együttműködés</w:t>
      </w:r>
    </w:p>
    <w:p w14:paraId="0F4F5507"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Cs/>
          <w:sz w:val="24"/>
          <w:szCs w:val="24"/>
        </w:rPr>
        <w:t xml:space="preserve">Az </w:t>
      </w:r>
      <w:r w:rsidRPr="00CB0A5E">
        <w:rPr>
          <w:rFonts w:ascii="Times New Roman" w:hAnsi="Times New Roman" w:cs="Times New Roman"/>
          <w:b/>
          <w:bCs/>
          <w:sz w:val="24"/>
          <w:szCs w:val="24"/>
        </w:rPr>
        <w:t>értéklánc (</w:t>
      </w:r>
      <w:proofErr w:type="spellStart"/>
      <w:r w:rsidRPr="00CB0A5E">
        <w:rPr>
          <w:rFonts w:ascii="Times New Roman" w:hAnsi="Times New Roman" w:cs="Times New Roman"/>
          <w:b/>
          <w:bCs/>
          <w:sz w:val="24"/>
          <w:szCs w:val="24"/>
        </w:rPr>
        <w:t>value</w:t>
      </w:r>
      <w:proofErr w:type="spellEnd"/>
      <w:r w:rsidRPr="00CB0A5E">
        <w:rPr>
          <w:rFonts w:ascii="Times New Roman" w:hAnsi="Times New Roman" w:cs="Times New Roman"/>
          <w:b/>
          <w:bCs/>
          <w:sz w:val="24"/>
          <w:szCs w:val="24"/>
        </w:rPr>
        <w:t xml:space="preserve"> </w:t>
      </w:r>
      <w:proofErr w:type="spellStart"/>
      <w:r w:rsidRPr="00CB0A5E">
        <w:rPr>
          <w:rFonts w:ascii="Times New Roman" w:hAnsi="Times New Roman" w:cs="Times New Roman"/>
          <w:b/>
          <w:bCs/>
          <w:sz w:val="24"/>
          <w:szCs w:val="24"/>
        </w:rPr>
        <w:t>chain</w:t>
      </w:r>
      <w:proofErr w:type="spellEnd"/>
      <w:r w:rsidRPr="00CB0A5E">
        <w:rPr>
          <w:rFonts w:ascii="Times New Roman" w:hAnsi="Times New Roman" w:cs="Times New Roman"/>
          <w:b/>
          <w:bCs/>
          <w:sz w:val="24"/>
          <w:szCs w:val="24"/>
        </w:rPr>
        <w:t>) a</w:t>
      </w:r>
      <w:r w:rsidRPr="00CB0A5E">
        <w:rPr>
          <w:rFonts w:ascii="Times New Roman" w:hAnsi="Times New Roman" w:cs="Times New Roman"/>
          <w:sz w:val="24"/>
          <w:szCs w:val="24"/>
        </w:rPr>
        <w:t xml:space="preserve"> vállalat azon részlegeinek láncolata, amelyek segítik terméke tervezését, az előállítását, a piacra vitelét, a szállítást és a terméktámogatást. A vevőérték-teremtés meghatározó eszköze, mivel csak ezen részlegek összehangolt tevékenységével lehet a vevők számára is értéket jelentő terméket létrehozni. </w:t>
      </w:r>
    </w:p>
    <w:p w14:paraId="717DA643"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Más vállalatokkal történő együttműködés</w:t>
      </w:r>
    </w:p>
    <w:p w14:paraId="7C60456F"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Értékközvetítő hálózat/ellátási lánc (</w:t>
      </w:r>
      <w:proofErr w:type="spellStart"/>
      <w:r w:rsidRPr="00CB0A5E">
        <w:rPr>
          <w:rFonts w:ascii="Times New Roman" w:hAnsi="Times New Roman" w:cs="Times New Roman"/>
          <w:b/>
          <w:bCs/>
          <w:sz w:val="24"/>
          <w:szCs w:val="24"/>
        </w:rPr>
        <w:t>Value</w:t>
      </w:r>
      <w:proofErr w:type="spellEnd"/>
      <w:r w:rsidRPr="00CB0A5E">
        <w:rPr>
          <w:rFonts w:ascii="Times New Roman" w:hAnsi="Times New Roman" w:cs="Times New Roman"/>
          <w:b/>
          <w:bCs/>
          <w:sz w:val="24"/>
          <w:szCs w:val="24"/>
        </w:rPr>
        <w:t xml:space="preserve"> </w:t>
      </w:r>
      <w:proofErr w:type="spellStart"/>
      <w:r w:rsidRPr="00CB0A5E">
        <w:rPr>
          <w:rFonts w:ascii="Times New Roman" w:hAnsi="Times New Roman" w:cs="Times New Roman"/>
          <w:b/>
          <w:bCs/>
          <w:sz w:val="24"/>
          <w:szCs w:val="24"/>
        </w:rPr>
        <w:t>delivery</w:t>
      </w:r>
      <w:proofErr w:type="spellEnd"/>
      <w:r w:rsidRPr="00CB0A5E">
        <w:rPr>
          <w:rFonts w:ascii="Times New Roman" w:hAnsi="Times New Roman" w:cs="Times New Roman"/>
          <w:b/>
          <w:bCs/>
          <w:sz w:val="24"/>
          <w:szCs w:val="24"/>
        </w:rPr>
        <w:t xml:space="preserve"> </w:t>
      </w:r>
      <w:proofErr w:type="spellStart"/>
      <w:r w:rsidRPr="00CB0A5E">
        <w:rPr>
          <w:rFonts w:ascii="Times New Roman" w:hAnsi="Times New Roman" w:cs="Times New Roman"/>
          <w:b/>
          <w:bCs/>
          <w:sz w:val="24"/>
          <w:szCs w:val="24"/>
        </w:rPr>
        <w:t>network</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a vállalat ellátási lánca és partnerségi kapcsolata bizonyos szállítókkal és közvetítőkkel termékek előállítására és értékesítésére. Az értéklánc és az értékközvetítő hálózat egyaránt fontos elemei a hatékony vevőkapcsolatok kiépítésének.</w:t>
      </w:r>
    </w:p>
    <w:p w14:paraId="14549F26"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marketingterv</w:t>
      </w:r>
      <w:r w:rsidRPr="00CB0A5E">
        <w:rPr>
          <w:rFonts w:ascii="Times New Roman" w:hAnsi="Times New Roman" w:cs="Times New Roman"/>
          <w:sz w:val="24"/>
          <w:szCs w:val="24"/>
        </w:rPr>
        <w:t xml:space="preserve"> olyan, írásba foglalt dokumentum, amely összefoglalja a piacra vonatkozó ismereteket, és megmutatja, hogy a cég miként kívánja marketingcéljait elérni. Részei:</w:t>
      </w:r>
    </w:p>
    <w:p w14:paraId="0D6A36F8" w14:textId="77777777" w:rsidR="001E0AAE" w:rsidRPr="00CB0A5E" w:rsidRDefault="001E0AAE" w:rsidP="00EC10C5">
      <w:pPr>
        <w:pStyle w:val="Stlus2"/>
      </w:pPr>
      <w:r w:rsidRPr="00CB0A5E">
        <w:t>Vezetői összefoglaló és tartalomjegyzék</w:t>
      </w:r>
    </w:p>
    <w:p w14:paraId="3ECB8A7B" w14:textId="77777777" w:rsidR="001E0AAE" w:rsidRPr="00CB0A5E" w:rsidRDefault="001E0AAE" w:rsidP="00EC10C5">
      <w:pPr>
        <w:pStyle w:val="Stlus2"/>
      </w:pPr>
      <w:r w:rsidRPr="00CB0A5E">
        <w:t>Helyzetelemzés</w:t>
      </w:r>
    </w:p>
    <w:p w14:paraId="218C67FA" w14:textId="77777777" w:rsidR="001E0AAE" w:rsidRPr="00CB0A5E" w:rsidRDefault="001E0AAE" w:rsidP="00EC10C5">
      <w:pPr>
        <w:pStyle w:val="Stlus2"/>
      </w:pPr>
      <w:r w:rsidRPr="00CB0A5E">
        <w:t>Lehetőségek és fenyegetések</w:t>
      </w:r>
    </w:p>
    <w:p w14:paraId="227DACC0" w14:textId="77777777" w:rsidR="001E0AAE" w:rsidRPr="00CB0A5E" w:rsidRDefault="001E0AAE" w:rsidP="00EC10C5">
      <w:pPr>
        <w:pStyle w:val="Stlus2"/>
      </w:pPr>
      <w:r w:rsidRPr="00CB0A5E">
        <w:t>Célkitűzések</w:t>
      </w:r>
    </w:p>
    <w:p w14:paraId="4A590DCD" w14:textId="77777777" w:rsidR="001E0AAE" w:rsidRPr="00CB0A5E" w:rsidRDefault="001E0AAE" w:rsidP="00EC10C5">
      <w:pPr>
        <w:pStyle w:val="Stlus2"/>
      </w:pPr>
      <w:r w:rsidRPr="00CB0A5E">
        <w:t>Marketing-stratégia</w:t>
      </w:r>
    </w:p>
    <w:p w14:paraId="55735953" w14:textId="77777777" w:rsidR="001E0AAE" w:rsidRPr="00CB0A5E" w:rsidRDefault="001E0AAE" w:rsidP="00EC10C5">
      <w:pPr>
        <w:pStyle w:val="Stlus2"/>
      </w:pPr>
      <w:r w:rsidRPr="00CB0A5E">
        <w:t>Akcióprogramok</w:t>
      </w:r>
    </w:p>
    <w:p w14:paraId="4536958D" w14:textId="77777777" w:rsidR="001E0AAE" w:rsidRPr="00CB0A5E" w:rsidRDefault="001E0AAE" w:rsidP="00EC10C5">
      <w:pPr>
        <w:pStyle w:val="Stlus2"/>
      </w:pPr>
      <w:r w:rsidRPr="00CB0A5E">
        <w:t>Pénzügyi előrejelzések</w:t>
      </w:r>
    </w:p>
    <w:p w14:paraId="5A14183D" w14:textId="77777777" w:rsidR="001E0AAE" w:rsidRPr="00CB0A5E" w:rsidRDefault="001E0AAE" w:rsidP="00EC10C5">
      <w:pPr>
        <w:pStyle w:val="Stlus2"/>
      </w:pPr>
      <w:r w:rsidRPr="00CB0A5E">
        <w:t>Ellenőrzés</w:t>
      </w:r>
    </w:p>
    <w:p w14:paraId="4FF2CA14"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303F4D04" w14:textId="77777777" w:rsidR="001E0AAE" w:rsidRPr="00CB0A5E" w:rsidRDefault="001E0AAE"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A marketing stratégia és a marketing mix kapcsolata</w:t>
      </w:r>
    </w:p>
    <w:p w14:paraId="077A4D93"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lastRenderedPageBreak/>
        <w:t>A</w:t>
      </w:r>
      <w:r w:rsidRPr="00CB0A5E">
        <w:rPr>
          <w:rFonts w:ascii="Times New Roman" w:hAnsi="Times New Roman" w:cs="Times New Roman"/>
          <w:b/>
          <w:bCs/>
          <w:sz w:val="24"/>
          <w:szCs w:val="24"/>
        </w:rPr>
        <w:t xml:space="preserve"> marketingterv </w:t>
      </w:r>
      <w:r w:rsidRPr="00CB0A5E">
        <w:rPr>
          <w:rFonts w:ascii="Times New Roman" w:hAnsi="Times New Roman" w:cs="Times New Roman"/>
          <w:sz w:val="24"/>
          <w:szCs w:val="24"/>
        </w:rPr>
        <w:t>rögzíti a célpiacokat és a legjobb piaci lehetőségek elemzése alapján a cég értékajánlatát.</w:t>
      </w:r>
    </w:p>
    <w:p w14:paraId="79FEBFF0" w14:textId="77777777" w:rsidR="001E0AAE" w:rsidRPr="00CB0A5E" w:rsidRDefault="001E0AAE" w:rsidP="00EC10C5">
      <w:pPr>
        <w:spacing w:after="60" w:line="240" w:lineRule="auto"/>
        <w:ind w:firstLine="709"/>
        <w:jc w:val="both"/>
        <w:rPr>
          <w:rFonts w:ascii="Times New Roman" w:hAnsi="Times New Roman" w:cs="Times New Roman"/>
          <w:b/>
          <w:bCs/>
          <w:sz w:val="24"/>
          <w:szCs w:val="24"/>
        </w:rPr>
      </w:pPr>
      <w:r w:rsidRPr="00CB0A5E">
        <w:rPr>
          <w:rFonts w:ascii="Times New Roman" w:hAnsi="Times New Roman" w:cs="Times New Roman"/>
          <w:b/>
          <w:bCs/>
          <w:sz w:val="24"/>
          <w:szCs w:val="24"/>
        </w:rPr>
        <w:t xml:space="preserve">A piac szegmentálása </w:t>
      </w:r>
      <w:r w:rsidRPr="00CB0A5E">
        <w:rPr>
          <w:rFonts w:ascii="Times New Roman" w:hAnsi="Times New Roman" w:cs="Times New Roman"/>
          <w:sz w:val="24"/>
          <w:szCs w:val="24"/>
        </w:rPr>
        <w:t xml:space="preserve">a vevők homogén csoportjainak meghatározásával történik bizonyos kritériumok figyelembevételével. </w:t>
      </w:r>
      <w:r w:rsidRPr="00CB0A5E">
        <w:rPr>
          <w:rFonts w:ascii="Times New Roman" w:hAnsi="Times New Roman" w:cs="Times New Roman"/>
          <w:b/>
          <w:bCs/>
          <w:sz w:val="24"/>
          <w:szCs w:val="24"/>
        </w:rPr>
        <w:t>Piaci szegmens</w:t>
      </w:r>
      <w:r w:rsidRPr="00CB0A5E">
        <w:rPr>
          <w:rFonts w:ascii="Times New Roman" w:hAnsi="Times New Roman" w:cs="Times New Roman"/>
          <w:sz w:val="24"/>
          <w:szCs w:val="24"/>
        </w:rPr>
        <w:t xml:space="preserve"> a fogyasztók egy csoportja, akik hasonlóan reagálnak a vállalat marketing tevékenységére</w:t>
      </w:r>
      <w:r w:rsidRPr="00CB0A5E">
        <w:rPr>
          <w:rFonts w:ascii="Times New Roman" w:hAnsi="Times New Roman" w:cs="Times New Roman"/>
          <w:b/>
          <w:bCs/>
          <w:sz w:val="24"/>
          <w:szCs w:val="24"/>
        </w:rPr>
        <w:t xml:space="preserve">. </w:t>
      </w:r>
    </w:p>
    <w:p w14:paraId="3D165B97"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w:t>
      </w:r>
      <w:r w:rsidRPr="00CB0A5E">
        <w:rPr>
          <w:rFonts w:ascii="Times New Roman" w:hAnsi="Times New Roman" w:cs="Times New Roman"/>
          <w:b/>
          <w:bCs/>
          <w:sz w:val="24"/>
          <w:szCs w:val="24"/>
        </w:rPr>
        <w:t xml:space="preserve">célpiac meghatározása </w:t>
      </w:r>
      <w:r w:rsidRPr="00CB0A5E">
        <w:rPr>
          <w:rFonts w:ascii="Times New Roman" w:hAnsi="Times New Roman" w:cs="Times New Roman"/>
          <w:sz w:val="24"/>
          <w:szCs w:val="24"/>
        </w:rPr>
        <w:t>(</w:t>
      </w:r>
      <w:proofErr w:type="spellStart"/>
      <w:r w:rsidRPr="00CB0A5E">
        <w:rPr>
          <w:rFonts w:ascii="Times New Roman" w:hAnsi="Times New Roman" w:cs="Times New Roman"/>
          <w:sz w:val="24"/>
          <w:szCs w:val="24"/>
        </w:rPr>
        <w:t>targeting</w:t>
      </w:r>
      <w:proofErr w:type="spellEnd"/>
      <w:r w:rsidRPr="00CB0A5E">
        <w:rPr>
          <w:rFonts w:ascii="Times New Roman" w:hAnsi="Times New Roman" w:cs="Times New Roman"/>
          <w:sz w:val="24"/>
          <w:szCs w:val="24"/>
        </w:rPr>
        <w:t xml:space="preserve">) során a vállalat azokra a szegmensekre koncentrál a stratégiaalkotáskor, amelyeket a szegmentálás során értékesnek ítélt meg. </w:t>
      </w:r>
      <w:r w:rsidRPr="00CB0A5E">
        <w:rPr>
          <w:rFonts w:ascii="Times New Roman" w:hAnsi="Times New Roman" w:cs="Times New Roman"/>
          <w:b/>
          <w:bCs/>
          <w:sz w:val="24"/>
          <w:szCs w:val="24"/>
        </w:rPr>
        <w:t xml:space="preserve">A célpiac meghatározás </w:t>
      </w:r>
      <w:r w:rsidRPr="00CB0A5E">
        <w:rPr>
          <w:rFonts w:ascii="Times New Roman" w:hAnsi="Times New Roman" w:cs="Times New Roman"/>
          <w:sz w:val="24"/>
          <w:szCs w:val="24"/>
        </w:rPr>
        <w:t xml:space="preserve">jellemzően a termék vagy szolgáltatás jelenlegi piac számára történő eladására helyezi előtérbe. Ezzel szemben a </w:t>
      </w:r>
      <w:r w:rsidRPr="00CB0A5E">
        <w:rPr>
          <w:rFonts w:ascii="Times New Roman" w:hAnsi="Times New Roman" w:cs="Times New Roman"/>
          <w:b/>
          <w:bCs/>
          <w:sz w:val="24"/>
          <w:szCs w:val="24"/>
        </w:rPr>
        <w:t xml:space="preserve">stratégiai piac </w:t>
      </w:r>
      <w:r w:rsidRPr="00CB0A5E">
        <w:rPr>
          <w:rFonts w:ascii="Times New Roman" w:hAnsi="Times New Roman" w:cs="Times New Roman"/>
          <w:bCs/>
          <w:sz w:val="24"/>
          <w:szCs w:val="24"/>
        </w:rPr>
        <w:t xml:space="preserve">meghatározásakor </w:t>
      </w:r>
      <w:r w:rsidRPr="00CB0A5E">
        <w:rPr>
          <w:rFonts w:ascii="Times New Roman" w:hAnsi="Times New Roman" w:cs="Times New Roman"/>
          <w:sz w:val="24"/>
          <w:szCs w:val="24"/>
        </w:rPr>
        <w:t xml:space="preserve">a vállalat a potenciális piacot jelöli ki. </w:t>
      </w:r>
    </w:p>
    <w:p w14:paraId="1DC47E02"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pozicionálás </w:t>
      </w:r>
      <w:r w:rsidRPr="00CB0A5E">
        <w:rPr>
          <w:rFonts w:ascii="Times New Roman" w:hAnsi="Times New Roman" w:cs="Times New Roman"/>
          <w:sz w:val="24"/>
          <w:szCs w:val="24"/>
        </w:rPr>
        <w:t xml:space="preserve">– </w:t>
      </w:r>
      <w:r w:rsidRPr="00CB0A5E">
        <w:rPr>
          <w:rFonts w:ascii="Times New Roman" w:hAnsi="Times New Roman" w:cs="Times New Roman"/>
          <w:b/>
          <w:bCs/>
          <w:sz w:val="24"/>
          <w:szCs w:val="24"/>
        </w:rPr>
        <w:t xml:space="preserve">versenytársakhoz képest saját helyünket meghatározzuk, és a jövőbeni elképzeléseinket megjelenítsük. </w:t>
      </w:r>
      <w:r w:rsidRPr="00CB0A5E">
        <w:rPr>
          <w:rFonts w:ascii="Times New Roman" w:hAnsi="Times New Roman" w:cs="Times New Roman"/>
          <w:sz w:val="24"/>
          <w:szCs w:val="24"/>
        </w:rPr>
        <w:t xml:space="preserve">A pozicionálás legfontosabb feladata, hogy a célcsoportokban tudatosítva megjelenjen a cégről, illetve a </w:t>
      </w:r>
      <w:r w:rsidRPr="00CB0A5E">
        <w:rPr>
          <w:rFonts w:ascii="Times New Roman" w:hAnsi="Times New Roman" w:cs="Times New Roman"/>
          <w:i/>
          <w:iCs/>
          <w:sz w:val="24"/>
          <w:szCs w:val="24"/>
        </w:rPr>
        <w:t xml:space="preserve">termékeiről az a kép, </w:t>
      </w:r>
      <w:r w:rsidRPr="00CB0A5E">
        <w:rPr>
          <w:rFonts w:ascii="Times New Roman" w:hAnsi="Times New Roman" w:cs="Times New Roman"/>
          <w:sz w:val="24"/>
          <w:szCs w:val="24"/>
        </w:rPr>
        <w:t xml:space="preserve">amely egyedi, a cég erős pontjaira utal, és a relatív versenyelőnyt fejezi ki. </w:t>
      </w:r>
      <w:r w:rsidRPr="00CB0A5E">
        <w:rPr>
          <w:rFonts w:ascii="Times New Roman" w:hAnsi="Times New Roman" w:cs="Times New Roman"/>
          <w:b/>
          <w:bCs/>
          <w:sz w:val="24"/>
          <w:szCs w:val="24"/>
        </w:rPr>
        <w:t xml:space="preserve">A differenciálás </w:t>
      </w:r>
      <w:r w:rsidRPr="00CB0A5E">
        <w:rPr>
          <w:rFonts w:ascii="Times New Roman" w:hAnsi="Times New Roman" w:cs="Times New Roman"/>
          <w:sz w:val="24"/>
          <w:szCs w:val="24"/>
        </w:rPr>
        <w:t xml:space="preserve">a termék megkülönböztetése a többi terméktől. </w:t>
      </w:r>
    </w:p>
    <w:p w14:paraId="1622D783"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Marketing mix </w:t>
      </w:r>
      <w:r w:rsidRPr="00CB0A5E">
        <w:rPr>
          <w:rFonts w:ascii="Times New Roman" w:hAnsi="Times New Roman" w:cs="Times New Roman"/>
          <w:sz w:val="24"/>
          <w:szCs w:val="24"/>
        </w:rPr>
        <w:t>olyan kontrolálható halmaza a taktikai marketing eszközöknek (</w:t>
      </w:r>
      <w:r w:rsidRPr="00CB0A5E">
        <w:rPr>
          <w:rFonts w:ascii="Times New Roman" w:hAnsi="Times New Roman" w:cs="Times New Roman"/>
          <w:b/>
          <w:bCs/>
          <w:sz w:val="24"/>
          <w:szCs w:val="24"/>
        </w:rPr>
        <w:t>termék, ár, értékesítési hely és promóció)</w:t>
      </w:r>
      <w:r w:rsidRPr="00CB0A5E">
        <w:rPr>
          <w:rFonts w:ascii="Times New Roman" w:hAnsi="Times New Roman" w:cs="Times New Roman"/>
          <w:sz w:val="24"/>
          <w:szCs w:val="24"/>
        </w:rPr>
        <w:t>, amellyel a cég a célpiac igényeinek megfelelő értéket kíván közvetíteni a fogyasztó számára.</w:t>
      </w:r>
    </w:p>
    <w:p w14:paraId="51B28CB0"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49CC1C72" w14:textId="77777777" w:rsidR="001E0AAE" w:rsidRPr="00CB0A5E" w:rsidRDefault="001E0AAE" w:rsidP="00EC10C5">
      <w:pPr>
        <w:pStyle w:val="Stlus1"/>
      </w:pPr>
      <w:bookmarkStart w:id="11" w:name="_Toc18440804"/>
      <w:r w:rsidRPr="00CB0A5E">
        <w:t xml:space="preserve">PORTER </w:t>
      </w:r>
      <w:r w:rsidR="00A829C3" w:rsidRPr="00CB0A5E">
        <w:t>alapstratégiái</w:t>
      </w:r>
      <w:bookmarkEnd w:id="11"/>
    </w:p>
    <w:p w14:paraId="366C1975"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piaci szegmentumok kiválasztásának stratégiái a következőek: </w:t>
      </w:r>
    </w:p>
    <w:p w14:paraId="6C196163" w14:textId="77777777" w:rsidR="001E0AAE" w:rsidRPr="00CB0A5E" w:rsidRDefault="001E0AAE" w:rsidP="00EC10C5">
      <w:pPr>
        <w:pStyle w:val="Listaszerbekezds"/>
        <w:numPr>
          <w:ilvl w:val="0"/>
          <w:numId w:val="11"/>
        </w:numPr>
        <w:spacing w:after="60" w:line="240" w:lineRule="auto"/>
        <w:ind w:left="567" w:firstLine="698"/>
        <w:rPr>
          <w:rFonts w:cs="Times New Roman"/>
          <w:szCs w:val="24"/>
        </w:rPr>
      </w:pPr>
      <w:r w:rsidRPr="00CB0A5E">
        <w:rPr>
          <w:rFonts w:cs="Times New Roman"/>
          <w:szCs w:val="24"/>
        </w:rPr>
        <w:t>differenciálatlan (a teljes piac lefedése) - vannak csoportok a piacon, de ezeket nem kezeli a vállalat külön egységként</w:t>
      </w:r>
    </w:p>
    <w:p w14:paraId="24BA0289" w14:textId="77777777" w:rsidR="001E0AAE" w:rsidRPr="00CB0A5E" w:rsidRDefault="001E0AAE" w:rsidP="00EC10C5">
      <w:pPr>
        <w:pStyle w:val="Listaszerbekezds"/>
        <w:numPr>
          <w:ilvl w:val="0"/>
          <w:numId w:val="11"/>
        </w:numPr>
        <w:spacing w:after="60" w:line="240" w:lineRule="auto"/>
        <w:ind w:left="567" w:firstLine="698"/>
        <w:rPr>
          <w:rFonts w:cs="Times New Roman"/>
          <w:szCs w:val="24"/>
        </w:rPr>
      </w:pPr>
      <w:r w:rsidRPr="00CB0A5E">
        <w:rPr>
          <w:rFonts w:cs="Times New Roman"/>
          <w:szCs w:val="24"/>
        </w:rPr>
        <w:t>differenciált - az egyes meghatározott szegmensek esetében eltérő a marketingtevékenység is</w:t>
      </w:r>
    </w:p>
    <w:p w14:paraId="0F000715" w14:textId="77777777" w:rsidR="001E0AAE" w:rsidRPr="00CB0A5E" w:rsidRDefault="001E0AAE" w:rsidP="00EC10C5">
      <w:pPr>
        <w:pStyle w:val="Listaszerbekezds"/>
        <w:numPr>
          <w:ilvl w:val="0"/>
          <w:numId w:val="11"/>
        </w:numPr>
        <w:spacing w:after="60" w:line="240" w:lineRule="auto"/>
        <w:ind w:left="567" w:firstLine="698"/>
        <w:rPr>
          <w:rFonts w:cs="Times New Roman"/>
          <w:szCs w:val="24"/>
        </w:rPr>
      </w:pPr>
      <w:r w:rsidRPr="00CB0A5E">
        <w:rPr>
          <w:rFonts w:cs="Times New Roman"/>
          <w:szCs w:val="24"/>
        </w:rPr>
        <w:t xml:space="preserve">koncentrált - csak egy </w:t>
      </w:r>
      <w:proofErr w:type="spellStart"/>
      <w:r w:rsidRPr="00CB0A5E">
        <w:rPr>
          <w:rFonts w:cs="Times New Roman"/>
          <w:szCs w:val="24"/>
        </w:rPr>
        <w:t>szegmenst</w:t>
      </w:r>
      <w:proofErr w:type="spellEnd"/>
      <w:r w:rsidRPr="00CB0A5E">
        <w:rPr>
          <w:rFonts w:cs="Times New Roman"/>
          <w:szCs w:val="24"/>
        </w:rPr>
        <w:t xml:space="preserve"> céloz meg</w:t>
      </w:r>
    </w:p>
    <w:p w14:paraId="0F1C64C8" w14:textId="77777777" w:rsidR="001E0AAE" w:rsidRPr="00CB0A5E" w:rsidRDefault="001E0AAE" w:rsidP="00EC10C5">
      <w:pPr>
        <w:pStyle w:val="Listaszerbekezds"/>
        <w:numPr>
          <w:ilvl w:val="0"/>
          <w:numId w:val="11"/>
        </w:numPr>
        <w:spacing w:after="60" w:line="240" w:lineRule="auto"/>
        <w:ind w:left="567" w:firstLine="698"/>
        <w:rPr>
          <w:rFonts w:cs="Times New Roman"/>
          <w:szCs w:val="24"/>
        </w:rPr>
      </w:pPr>
      <w:r w:rsidRPr="00CB0A5E">
        <w:rPr>
          <w:rFonts w:cs="Times New Roman"/>
          <w:szCs w:val="24"/>
        </w:rPr>
        <w:t xml:space="preserve">szelektív-differenciált - néhány </w:t>
      </w:r>
      <w:proofErr w:type="spellStart"/>
      <w:r w:rsidRPr="00CB0A5E">
        <w:rPr>
          <w:rFonts w:cs="Times New Roman"/>
          <w:szCs w:val="24"/>
        </w:rPr>
        <w:t>szegmenst</w:t>
      </w:r>
      <w:proofErr w:type="spellEnd"/>
      <w:r w:rsidRPr="00CB0A5E">
        <w:rPr>
          <w:rFonts w:cs="Times New Roman"/>
          <w:szCs w:val="24"/>
        </w:rPr>
        <w:t xml:space="preserve"> kiválasztva, azokat külön-külön kezelve marketingtevékenységet folytat.</w:t>
      </w:r>
    </w:p>
    <w:p w14:paraId="4F531051" w14:textId="77777777" w:rsidR="001E0AAE" w:rsidRPr="00CB0A5E" w:rsidRDefault="00C46DB0" w:rsidP="00EC10C5">
      <w:pPr>
        <w:pStyle w:val="Stlus1"/>
        <w:rPr>
          <w:rStyle w:val="tlid-translation"/>
        </w:rPr>
      </w:pPr>
      <w:bookmarkStart w:id="12" w:name="_Toc18440805"/>
      <w:r w:rsidRPr="00CB0A5E">
        <w:rPr>
          <w:rStyle w:val="tlid-translation"/>
        </w:rPr>
        <w:t xml:space="preserve">SWOT analízis - </w:t>
      </w:r>
      <w:r w:rsidR="001E0AAE" w:rsidRPr="00CB0A5E">
        <w:rPr>
          <w:rStyle w:val="tlid-translation"/>
        </w:rPr>
        <w:t>Helyzetelemzés, lehetőségek és fenyegetések elemzése</w:t>
      </w:r>
      <w:bookmarkEnd w:id="12"/>
      <w:r w:rsidR="001E0AAE" w:rsidRPr="00CB0A5E">
        <w:rPr>
          <w:rStyle w:val="tlid-translation"/>
        </w:rPr>
        <w:t xml:space="preserve">  </w:t>
      </w:r>
    </w:p>
    <w:p w14:paraId="40A5CE17" w14:textId="77777777" w:rsidR="001E0AAE" w:rsidRPr="00CB0A5E" w:rsidRDefault="001E0AAE" w:rsidP="00EC10C5">
      <w:pPr>
        <w:spacing w:after="60" w:line="240" w:lineRule="auto"/>
        <w:ind w:firstLine="709"/>
        <w:jc w:val="both"/>
        <w:rPr>
          <w:rStyle w:val="tlid-translation"/>
          <w:rFonts w:ascii="Times New Roman" w:hAnsi="Times New Roman" w:cs="Times New Roman"/>
          <w:sz w:val="24"/>
          <w:szCs w:val="24"/>
        </w:rPr>
      </w:pPr>
      <w:r w:rsidRPr="00CB0A5E">
        <w:rPr>
          <w:rStyle w:val="tlid-translation"/>
          <w:rFonts w:ascii="Times New Roman" w:hAnsi="Times New Roman" w:cs="Times New Roman"/>
          <w:sz w:val="24"/>
          <w:szCs w:val="24"/>
        </w:rPr>
        <w:t>A SWOT-analízis egy olyan strukturált elemzési eszköz, amely egy vállalkozás stratégiai helyzetét értékeli annak erősségei, gyengeségei, piaci lehetőségeinek és külső fenyegetéseknek a tanulmányozásával. Az erősségek és gyengeségek értékelése során csak azokat az erőforrásokat vagy képességeket kell figyelembe venni, amelyeket a vevő is értékelne. Miután a SWOT elemzés befejeződött, meg kell értenünk, hogyan lehet a gyengeségeket kiküszöbölni és a fenyegetettségeket megváltoztatni lehetőségekre. A SWOT használatának másik módja az, hogy az erősségeket a lehetőségekhez igazítsa.</w:t>
      </w:r>
    </w:p>
    <w:p w14:paraId="33E019F4" w14:textId="77777777" w:rsidR="001E0AAE" w:rsidRDefault="001E0AAE" w:rsidP="00EC10C5">
      <w:pPr>
        <w:spacing w:after="60" w:line="240" w:lineRule="auto"/>
        <w:ind w:firstLine="709"/>
        <w:jc w:val="both"/>
        <w:rPr>
          <w:rStyle w:val="tlid-translation"/>
          <w:rFonts w:ascii="Times New Roman" w:hAnsi="Times New Roman" w:cs="Times New Roman"/>
          <w:sz w:val="24"/>
          <w:szCs w:val="24"/>
        </w:rPr>
      </w:pPr>
      <w:r w:rsidRPr="00CB0A5E">
        <w:rPr>
          <w:rStyle w:val="tlid-translation"/>
          <w:rFonts w:ascii="Times New Roman" w:hAnsi="Times New Roman" w:cs="Times New Roman"/>
          <w:sz w:val="24"/>
          <w:szCs w:val="24"/>
        </w:rPr>
        <w:t>A vállalatnak elemeznie kell piacait és marketing környezetét, hogy vonzó lehetőségeket találjon és azonosítsa a környezetből érkező fenyegetéseket. Meg kell vizsgálni a vállalat erősségeit és gyengeségeit, valamint a jelenlegi és lehetséges marketingtevékenységeket annak meghatározása érdekében, hogy milyen lehetőségeket lehet elérni. A SWOT-analízis célja, hogy a vállalat erősségeit a környezetben lévő vonzó lehetőségekhez igazítsa, ugyanakkor kiküszöbölje vagy megszüntesse a gyengeségeket és minimalizálja a veszélyeket. A marketingelemzés minden más marketing menedzsment funkcióhoz hozzájárul. A gyengeségek esetében végig kell gondolnia a vállalatnak, hogy hogyan tudja kezelni azokat.</w:t>
      </w:r>
    </w:p>
    <w:p w14:paraId="37507810" w14:textId="77777777" w:rsidR="009A244E" w:rsidRDefault="009A244E" w:rsidP="00EC10C5">
      <w:pPr>
        <w:spacing w:after="60" w:line="240" w:lineRule="auto"/>
        <w:ind w:firstLine="709"/>
        <w:jc w:val="both"/>
        <w:rPr>
          <w:rStyle w:val="tlid-translation"/>
          <w:rFonts w:ascii="Times New Roman" w:hAnsi="Times New Roman" w:cs="Times New Roman"/>
          <w:sz w:val="24"/>
          <w:szCs w:val="24"/>
        </w:rPr>
      </w:pPr>
    </w:p>
    <w:p w14:paraId="251AD029" w14:textId="77777777" w:rsidR="009A244E" w:rsidRDefault="009A244E" w:rsidP="00EC10C5">
      <w:pPr>
        <w:spacing w:after="60" w:line="240" w:lineRule="auto"/>
        <w:ind w:firstLine="709"/>
        <w:jc w:val="both"/>
        <w:rPr>
          <w:rStyle w:val="tlid-translation"/>
          <w:rFonts w:ascii="Times New Roman" w:hAnsi="Times New Roman" w:cs="Times New Roman"/>
          <w:sz w:val="24"/>
          <w:szCs w:val="24"/>
        </w:rPr>
      </w:pPr>
    </w:p>
    <w:p w14:paraId="10B08047" w14:textId="77777777" w:rsidR="009A244E" w:rsidRPr="00CB0A5E" w:rsidRDefault="009A244E" w:rsidP="00EC10C5">
      <w:pPr>
        <w:spacing w:after="60" w:line="240" w:lineRule="auto"/>
        <w:ind w:firstLine="709"/>
        <w:jc w:val="both"/>
        <w:rPr>
          <w:rFonts w:ascii="Times New Roman" w:hAnsi="Times New Roman" w:cs="Times New Roman"/>
          <w:sz w:val="24"/>
          <w:szCs w:val="24"/>
        </w:rPr>
      </w:pPr>
    </w:p>
    <w:p w14:paraId="5E35CCED"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51039596" w14:textId="6B61DC66" w:rsidR="001E0AAE" w:rsidRPr="009A244E" w:rsidRDefault="001E0AAE" w:rsidP="00EC10C5">
      <w:pPr>
        <w:pStyle w:val="Kpalrs"/>
        <w:spacing w:after="60"/>
        <w:ind w:firstLine="709"/>
        <w:jc w:val="center"/>
        <w:rPr>
          <w:rFonts w:ascii="Times New Roman" w:hAnsi="Times New Roman" w:cs="Times New Roman"/>
          <w:b/>
          <w:i w:val="0"/>
          <w:color w:val="000000" w:themeColor="text1"/>
          <w:sz w:val="24"/>
          <w:szCs w:val="24"/>
        </w:rPr>
      </w:pPr>
      <w:r w:rsidRPr="009A244E">
        <w:rPr>
          <w:rFonts w:ascii="Times New Roman" w:hAnsi="Times New Roman" w:cs="Times New Roman"/>
          <w:b/>
          <w:i w:val="0"/>
          <w:color w:val="000000" w:themeColor="text1"/>
          <w:sz w:val="24"/>
          <w:szCs w:val="24"/>
        </w:rPr>
        <w:fldChar w:fldCharType="begin"/>
      </w:r>
      <w:r w:rsidRPr="009A244E">
        <w:rPr>
          <w:rFonts w:ascii="Times New Roman" w:hAnsi="Times New Roman" w:cs="Times New Roman"/>
          <w:b/>
          <w:i w:val="0"/>
          <w:color w:val="000000" w:themeColor="text1"/>
          <w:sz w:val="24"/>
          <w:szCs w:val="24"/>
        </w:rPr>
        <w:instrText xml:space="preserve"> SEQ ábra \* ARABIC </w:instrText>
      </w:r>
      <w:r w:rsidRPr="009A244E">
        <w:rPr>
          <w:rFonts w:ascii="Times New Roman" w:hAnsi="Times New Roman" w:cs="Times New Roman"/>
          <w:b/>
          <w:i w:val="0"/>
          <w:color w:val="000000" w:themeColor="text1"/>
          <w:sz w:val="24"/>
          <w:szCs w:val="24"/>
        </w:rPr>
        <w:fldChar w:fldCharType="separate"/>
      </w:r>
      <w:r w:rsidR="006C213D">
        <w:rPr>
          <w:rFonts w:ascii="Times New Roman" w:hAnsi="Times New Roman" w:cs="Times New Roman"/>
          <w:b/>
          <w:i w:val="0"/>
          <w:noProof/>
          <w:color w:val="000000" w:themeColor="text1"/>
          <w:sz w:val="24"/>
          <w:szCs w:val="24"/>
        </w:rPr>
        <w:t>4</w:t>
      </w:r>
      <w:r w:rsidRPr="009A244E">
        <w:rPr>
          <w:rFonts w:ascii="Times New Roman" w:hAnsi="Times New Roman" w:cs="Times New Roman"/>
          <w:b/>
          <w:i w:val="0"/>
          <w:color w:val="000000" w:themeColor="text1"/>
          <w:sz w:val="24"/>
          <w:szCs w:val="24"/>
        </w:rPr>
        <w:fldChar w:fldCharType="end"/>
      </w:r>
      <w:r w:rsidRPr="009A244E">
        <w:rPr>
          <w:rFonts w:ascii="Times New Roman" w:hAnsi="Times New Roman" w:cs="Times New Roman"/>
          <w:b/>
          <w:i w:val="0"/>
          <w:color w:val="000000" w:themeColor="text1"/>
          <w:sz w:val="24"/>
          <w:szCs w:val="24"/>
        </w:rPr>
        <w:t>. ábra SWOT – elemzés</w:t>
      </w:r>
    </w:p>
    <w:p w14:paraId="118E6E24" w14:textId="77777777" w:rsidR="001E0AAE" w:rsidRPr="009A244E" w:rsidRDefault="001E0AAE" w:rsidP="00EC10C5">
      <w:pPr>
        <w:spacing w:after="60" w:line="240" w:lineRule="auto"/>
        <w:ind w:firstLine="709"/>
        <w:jc w:val="both"/>
        <w:rPr>
          <w:rFonts w:ascii="Times New Roman" w:hAnsi="Times New Roman" w:cs="Times New Roman"/>
          <w:b/>
          <w:sz w:val="24"/>
          <w:szCs w:val="24"/>
        </w:rPr>
      </w:pPr>
    </w:p>
    <w:p w14:paraId="20241BF8" w14:textId="77777777" w:rsidR="001E0AAE" w:rsidRPr="00CB0A5E" w:rsidRDefault="001E0AAE" w:rsidP="00EC10C5">
      <w:pPr>
        <w:spacing w:after="60" w:line="240" w:lineRule="auto"/>
        <w:ind w:firstLine="709"/>
        <w:jc w:val="center"/>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01AF3946" wp14:editId="3019FBC2">
            <wp:extent cx="3171825" cy="1334598"/>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3871" cy="1339667"/>
                    </a:xfrm>
                    <a:prstGeom prst="rect">
                      <a:avLst/>
                    </a:prstGeom>
                    <a:noFill/>
                  </pic:spPr>
                </pic:pic>
              </a:graphicData>
            </a:graphic>
          </wp:inline>
        </w:drawing>
      </w:r>
    </w:p>
    <w:p w14:paraId="2451B81C"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6E10DACB" w14:textId="77777777" w:rsidR="001E0AAE" w:rsidRPr="00CB0A5E" w:rsidRDefault="001E0AAE" w:rsidP="00EC10C5">
      <w:pPr>
        <w:spacing w:after="60" w:line="240" w:lineRule="auto"/>
        <w:ind w:left="2123" w:firstLine="709"/>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17A688AC" w14:textId="77777777" w:rsidR="001E0AAE" w:rsidRPr="00CB0A5E" w:rsidRDefault="001E0AAE" w:rsidP="00EC10C5">
      <w:pPr>
        <w:pStyle w:val="Kpalrs"/>
        <w:spacing w:after="60"/>
        <w:ind w:firstLine="709"/>
        <w:jc w:val="both"/>
        <w:rPr>
          <w:rFonts w:ascii="Times New Roman" w:hAnsi="Times New Roman" w:cs="Times New Roman"/>
          <w:sz w:val="24"/>
          <w:szCs w:val="24"/>
        </w:rPr>
      </w:pPr>
    </w:p>
    <w:p w14:paraId="6AD5E9C0" w14:textId="77777777" w:rsidR="001E0AAE" w:rsidRPr="00CB0A5E" w:rsidRDefault="001E0AAE" w:rsidP="00EC10C5">
      <w:pPr>
        <w:pStyle w:val="Cmsor2"/>
        <w:numPr>
          <w:ilvl w:val="1"/>
          <w:numId w:val="8"/>
        </w:numPr>
        <w:spacing w:after="60" w:line="240" w:lineRule="auto"/>
        <w:jc w:val="both"/>
        <w:rPr>
          <w:rFonts w:ascii="Times New Roman" w:hAnsi="Times New Roman" w:cs="Times New Roman"/>
          <w:b/>
          <w:sz w:val="24"/>
          <w:szCs w:val="24"/>
        </w:rPr>
      </w:pPr>
      <w:bookmarkStart w:id="13" w:name="_Toc1568848"/>
      <w:bookmarkStart w:id="14" w:name="_Toc18440806"/>
      <w:r w:rsidRPr="00CB0A5E">
        <w:rPr>
          <w:rFonts w:ascii="Times New Roman" w:hAnsi="Times New Roman" w:cs="Times New Roman"/>
          <w:b/>
          <w:color w:val="auto"/>
          <w:sz w:val="24"/>
          <w:szCs w:val="24"/>
        </w:rPr>
        <w:t>Versenystratégiák</w:t>
      </w:r>
      <w:bookmarkEnd w:id="13"/>
      <w:bookmarkEnd w:id="14"/>
    </w:p>
    <w:p w14:paraId="2B755E97" w14:textId="77777777" w:rsidR="001E0AAE" w:rsidRPr="00CB0A5E" w:rsidRDefault="001E0AAE" w:rsidP="00EC10C5">
      <w:pPr>
        <w:pStyle w:val="Stlus1"/>
      </w:pPr>
      <w:r w:rsidRPr="00CB0A5E">
        <w:t>A versenyelőny megteremtése</w:t>
      </w:r>
    </w:p>
    <w:p w14:paraId="50BA99CD" w14:textId="77777777" w:rsidR="001E0AAE" w:rsidRPr="00CB0A5E" w:rsidRDefault="001E0AAE" w:rsidP="00EC10C5">
      <w:pPr>
        <w:pStyle w:val="Kpalrs"/>
        <w:spacing w:after="60"/>
        <w:ind w:firstLine="709"/>
        <w:jc w:val="both"/>
        <w:rPr>
          <w:rFonts w:ascii="Times New Roman" w:hAnsi="Times New Roman" w:cs="Times New Roman"/>
          <w:i w:val="0"/>
          <w:color w:val="auto"/>
          <w:sz w:val="24"/>
          <w:szCs w:val="24"/>
        </w:rPr>
      </w:pPr>
      <w:r w:rsidRPr="00CB0A5E">
        <w:rPr>
          <w:rFonts w:ascii="Times New Roman" w:hAnsi="Times New Roman" w:cs="Times New Roman"/>
          <w:i w:val="0"/>
          <w:color w:val="auto"/>
          <w:sz w:val="24"/>
          <w:szCs w:val="24"/>
        </w:rPr>
        <w:t>Versenyelőny (</w:t>
      </w:r>
      <w:proofErr w:type="spellStart"/>
      <w:r w:rsidRPr="00CB0A5E">
        <w:rPr>
          <w:rFonts w:ascii="Times New Roman" w:hAnsi="Times New Roman" w:cs="Times New Roman"/>
          <w:i w:val="0"/>
          <w:color w:val="auto"/>
          <w:sz w:val="24"/>
          <w:szCs w:val="24"/>
        </w:rPr>
        <w:t>competitive</w:t>
      </w:r>
      <w:proofErr w:type="spellEnd"/>
      <w:r w:rsidRPr="00CB0A5E">
        <w:rPr>
          <w:rFonts w:ascii="Times New Roman" w:hAnsi="Times New Roman" w:cs="Times New Roman"/>
          <w:i w:val="0"/>
          <w:color w:val="auto"/>
          <w:sz w:val="24"/>
          <w:szCs w:val="24"/>
        </w:rPr>
        <w:t xml:space="preserve"> </w:t>
      </w:r>
      <w:proofErr w:type="spellStart"/>
      <w:r w:rsidRPr="00CB0A5E">
        <w:rPr>
          <w:rFonts w:ascii="Times New Roman" w:hAnsi="Times New Roman" w:cs="Times New Roman"/>
          <w:i w:val="0"/>
          <w:color w:val="auto"/>
          <w:sz w:val="24"/>
          <w:szCs w:val="24"/>
        </w:rPr>
        <w:t>advantage</w:t>
      </w:r>
      <w:proofErr w:type="spellEnd"/>
      <w:r w:rsidRPr="00CB0A5E">
        <w:rPr>
          <w:rFonts w:ascii="Times New Roman" w:hAnsi="Times New Roman" w:cs="Times New Roman"/>
          <w:i w:val="0"/>
          <w:color w:val="auto"/>
          <w:sz w:val="24"/>
          <w:szCs w:val="24"/>
        </w:rPr>
        <w:t>) – a vállalatnak az a képessége, amely lehetővé teszi, hogy egy vagy több területen a versenytársak ne tudják vagy ne akarják követni. A versenytársak elemzése (</w:t>
      </w:r>
      <w:proofErr w:type="spellStart"/>
      <w:r w:rsidRPr="00CB0A5E">
        <w:rPr>
          <w:rFonts w:ascii="Times New Roman" w:hAnsi="Times New Roman" w:cs="Times New Roman"/>
          <w:i w:val="0"/>
          <w:color w:val="auto"/>
          <w:sz w:val="24"/>
          <w:szCs w:val="24"/>
        </w:rPr>
        <w:t>competitor</w:t>
      </w:r>
      <w:proofErr w:type="spellEnd"/>
      <w:r w:rsidRPr="00CB0A5E">
        <w:rPr>
          <w:rFonts w:ascii="Times New Roman" w:hAnsi="Times New Roman" w:cs="Times New Roman"/>
          <w:i w:val="0"/>
          <w:color w:val="auto"/>
          <w:sz w:val="24"/>
          <w:szCs w:val="24"/>
        </w:rPr>
        <w:t xml:space="preserve"> </w:t>
      </w:r>
      <w:proofErr w:type="spellStart"/>
      <w:r w:rsidRPr="00CB0A5E">
        <w:rPr>
          <w:rFonts w:ascii="Times New Roman" w:hAnsi="Times New Roman" w:cs="Times New Roman"/>
          <w:i w:val="0"/>
          <w:color w:val="auto"/>
          <w:sz w:val="24"/>
          <w:szCs w:val="24"/>
        </w:rPr>
        <w:t>analysis</w:t>
      </w:r>
      <w:proofErr w:type="spellEnd"/>
      <w:r w:rsidRPr="00CB0A5E">
        <w:rPr>
          <w:rFonts w:ascii="Times New Roman" w:hAnsi="Times New Roman" w:cs="Times New Roman"/>
          <w:i w:val="0"/>
          <w:color w:val="auto"/>
          <w:sz w:val="24"/>
          <w:szCs w:val="24"/>
        </w:rPr>
        <w:t xml:space="preserve">) egy olyan folyamat, amely során a vállalat azonosítja, elemzi és kiválasztja a kulcsfontosságú versenytársakat. A versenyképes marketingstratégia kialakításához a vállalatok elemzik a versenytársaikat, és ennek alapján stratégiákat dolgoznak ki, értéket teremtsenek a vevőknek és nyereséges ügyfélkapcsolatokat építsenek. </w:t>
      </w:r>
    </w:p>
    <w:p w14:paraId="21AB2A3C" w14:textId="77777777" w:rsidR="001E0AAE" w:rsidRPr="00CB0A5E" w:rsidRDefault="001E0AAE" w:rsidP="00EC10C5">
      <w:pPr>
        <w:pStyle w:val="Stlus1"/>
      </w:pPr>
      <w:bookmarkStart w:id="15" w:name="_Toc18440807"/>
      <w:r w:rsidRPr="00CB0A5E">
        <w:t>A versenytárs elemzés</w:t>
      </w:r>
      <w:bookmarkEnd w:id="15"/>
    </w:p>
    <w:p w14:paraId="3E8014B1" w14:textId="5954B49E" w:rsidR="001E0AAE" w:rsidRPr="009A244E" w:rsidRDefault="001E0AAE" w:rsidP="00EC10C5">
      <w:pPr>
        <w:pStyle w:val="Kpalrs"/>
        <w:spacing w:after="60"/>
        <w:ind w:firstLine="709"/>
        <w:jc w:val="center"/>
        <w:rPr>
          <w:rFonts w:ascii="Times New Roman" w:hAnsi="Times New Roman" w:cs="Times New Roman"/>
          <w:b/>
          <w:i w:val="0"/>
          <w:color w:val="000000" w:themeColor="text1"/>
          <w:sz w:val="24"/>
          <w:szCs w:val="24"/>
        </w:rPr>
      </w:pPr>
      <w:r w:rsidRPr="009A244E">
        <w:rPr>
          <w:rFonts w:ascii="Times New Roman" w:hAnsi="Times New Roman" w:cs="Times New Roman"/>
          <w:b/>
          <w:i w:val="0"/>
          <w:color w:val="000000" w:themeColor="text1"/>
          <w:sz w:val="24"/>
          <w:szCs w:val="24"/>
        </w:rPr>
        <w:fldChar w:fldCharType="begin"/>
      </w:r>
      <w:r w:rsidRPr="009A244E">
        <w:rPr>
          <w:rFonts w:ascii="Times New Roman" w:hAnsi="Times New Roman" w:cs="Times New Roman"/>
          <w:b/>
          <w:i w:val="0"/>
          <w:color w:val="000000" w:themeColor="text1"/>
          <w:sz w:val="24"/>
          <w:szCs w:val="24"/>
        </w:rPr>
        <w:instrText xml:space="preserve"> SEQ ábra \* ARABIC </w:instrText>
      </w:r>
      <w:r w:rsidRPr="009A244E">
        <w:rPr>
          <w:rFonts w:ascii="Times New Roman" w:hAnsi="Times New Roman" w:cs="Times New Roman"/>
          <w:b/>
          <w:i w:val="0"/>
          <w:color w:val="000000" w:themeColor="text1"/>
          <w:sz w:val="24"/>
          <w:szCs w:val="24"/>
        </w:rPr>
        <w:fldChar w:fldCharType="separate"/>
      </w:r>
      <w:r w:rsidR="006C213D">
        <w:rPr>
          <w:rFonts w:ascii="Times New Roman" w:hAnsi="Times New Roman" w:cs="Times New Roman"/>
          <w:b/>
          <w:i w:val="0"/>
          <w:noProof/>
          <w:color w:val="000000" w:themeColor="text1"/>
          <w:sz w:val="24"/>
          <w:szCs w:val="24"/>
        </w:rPr>
        <w:t>5</w:t>
      </w:r>
      <w:r w:rsidRPr="009A244E">
        <w:rPr>
          <w:rFonts w:ascii="Times New Roman" w:hAnsi="Times New Roman" w:cs="Times New Roman"/>
          <w:b/>
          <w:i w:val="0"/>
          <w:color w:val="000000" w:themeColor="text1"/>
          <w:sz w:val="24"/>
          <w:szCs w:val="24"/>
        </w:rPr>
        <w:fldChar w:fldCharType="end"/>
      </w:r>
      <w:r w:rsidRPr="009A244E">
        <w:rPr>
          <w:rFonts w:ascii="Times New Roman" w:hAnsi="Times New Roman" w:cs="Times New Roman"/>
          <w:b/>
          <w:i w:val="0"/>
          <w:color w:val="000000" w:themeColor="text1"/>
          <w:sz w:val="24"/>
          <w:szCs w:val="24"/>
        </w:rPr>
        <w:t>. ábra A versenytárs elemzés lépései</w:t>
      </w:r>
    </w:p>
    <w:p w14:paraId="52A69C6C" w14:textId="77777777" w:rsidR="001E0AAE" w:rsidRPr="00CB0A5E" w:rsidRDefault="001E0AAE" w:rsidP="00EC10C5">
      <w:pPr>
        <w:pStyle w:val="Kpalrs"/>
        <w:spacing w:after="60"/>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091CD0B1" wp14:editId="317ED3F8">
            <wp:extent cx="5760720" cy="1476375"/>
            <wp:effectExtent l="19050" t="0" r="1143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CB0A5E">
        <w:rPr>
          <w:rFonts w:ascii="Times New Roman" w:hAnsi="Times New Roman" w:cs="Times New Roman"/>
          <w:sz w:val="24"/>
          <w:szCs w:val="24"/>
        </w:rPr>
        <w:t xml:space="preserve"> </w:t>
      </w:r>
    </w:p>
    <w:p w14:paraId="5CCBB812" w14:textId="77777777" w:rsidR="001E0AAE" w:rsidRPr="00CB0A5E" w:rsidRDefault="001E0AAE"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0E616668" w14:textId="77777777" w:rsidR="001E0AAE" w:rsidRPr="00CB0A5E" w:rsidRDefault="001E0AAE" w:rsidP="00EC10C5">
      <w:pPr>
        <w:pStyle w:val="Kpalrs"/>
        <w:spacing w:after="60"/>
        <w:ind w:firstLine="709"/>
        <w:jc w:val="both"/>
        <w:rPr>
          <w:rFonts w:ascii="Times New Roman" w:hAnsi="Times New Roman" w:cs="Times New Roman"/>
          <w:sz w:val="24"/>
          <w:szCs w:val="24"/>
        </w:rPr>
      </w:pPr>
    </w:p>
    <w:p w14:paraId="49A24B6B" w14:textId="77777777" w:rsidR="001E0AAE" w:rsidRPr="00EC23E2" w:rsidRDefault="001E0AAE" w:rsidP="00EC10C5">
      <w:pPr>
        <w:pStyle w:val="Kpalrs"/>
        <w:spacing w:after="60"/>
        <w:ind w:firstLine="709"/>
        <w:jc w:val="both"/>
        <w:rPr>
          <w:rFonts w:ascii="Times New Roman" w:hAnsi="Times New Roman" w:cs="Times New Roman"/>
          <w:i w:val="0"/>
          <w:color w:val="auto"/>
          <w:sz w:val="24"/>
          <w:szCs w:val="24"/>
        </w:rPr>
      </w:pPr>
      <w:r w:rsidRPr="00EC23E2">
        <w:rPr>
          <w:rFonts w:ascii="Times New Roman" w:hAnsi="Times New Roman" w:cs="Times New Roman"/>
          <w:i w:val="0"/>
          <w:color w:val="auto"/>
          <w:sz w:val="24"/>
          <w:szCs w:val="24"/>
        </w:rPr>
        <w:t>A versenytársak azonosítása</w:t>
      </w:r>
    </w:p>
    <w:p w14:paraId="72342514" w14:textId="77777777" w:rsidR="001E0AAE" w:rsidRPr="00EC23E2" w:rsidRDefault="001E0AAE" w:rsidP="00EC10C5">
      <w:pPr>
        <w:pStyle w:val="Kpalrs"/>
        <w:spacing w:after="60"/>
        <w:ind w:firstLine="709"/>
        <w:jc w:val="both"/>
        <w:rPr>
          <w:rFonts w:ascii="Times New Roman" w:hAnsi="Times New Roman" w:cs="Times New Roman"/>
          <w:b/>
          <w:i w:val="0"/>
          <w:color w:val="auto"/>
          <w:sz w:val="24"/>
          <w:szCs w:val="24"/>
        </w:rPr>
      </w:pPr>
      <w:r w:rsidRPr="00EC23E2">
        <w:rPr>
          <w:rFonts w:ascii="Times New Roman" w:hAnsi="Times New Roman" w:cs="Times New Roman"/>
          <w:b/>
          <w:i w:val="0"/>
          <w:color w:val="auto"/>
          <w:sz w:val="24"/>
          <w:szCs w:val="24"/>
        </w:rPr>
        <w:t>A versenytársak a következőkre terjedhetnek ki:</w:t>
      </w:r>
    </w:p>
    <w:p w14:paraId="557F6EF8" w14:textId="77777777" w:rsidR="001E0AAE" w:rsidRPr="00EC23E2" w:rsidRDefault="001E0AAE" w:rsidP="00EC10C5">
      <w:pPr>
        <w:pStyle w:val="Kpalrs"/>
        <w:numPr>
          <w:ilvl w:val="0"/>
          <w:numId w:val="12"/>
        </w:numPr>
        <w:tabs>
          <w:tab w:val="clear" w:pos="360"/>
          <w:tab w:val="num" w:pos="567"/>
        </w:tabs>
        <w:spacing w:after="60"/>
        <w:ind w:left="567" w:firstLine="709"/>
        <w:jc w:val="both"/>
        <w:rPr>
          <w:rFonts w:ascii="Times New Roman" w:hAnsi="Times New Roman" w:cs="Times New Roman"/>
          <w:i w:val="0"/>
          <w:color w:val="auto"/>
          <w:sz w:val="24"/>
          <w:szCs w:val="24"/>
        </w:rPr>
      </w:pPr>
      <w:r w:rsidRPr="00EC23E2">
        <w:rPr>
          <w:rFonts w:ascii="Times New Roman" w:hAnsi="Times New Roman" w:cs="Times New Roman"/>
          <w:i w:val="0"/>
          <w:color w:val="auto"/>
          <w:sz w:val="24"/>
          <w:szCs w:val="24"/>
        </w:rPr>
        <w:t>Minden olyan cég, amely ugyanazt a terméket vagy termékkategóriát gyártja</w:t>
      </w:r>
    </w:p>
    <w:p w14:paraId="14D0FFEE" w14:textId="77777777" w:rsidR="001E0AAE" w:rsidRPr="00EC23E2" w:rsidRDefault="001E0AAE" w:rsidP="00EC10C5">
      <w:pPr>
        <w:pStyle w:val="Kpalrs"/>
        <w:numPr>
          <w:ilvl w:val="0"/>
          <w:numId w:val="12"/>
        </w:numPr>
        <w:tabs>
          <w:tab w:val="clear" w:pos="360"/>
          <w:tab w:val="num" w:pos="567"/>
        </w:tabs>
        <w:spacing w:after="60"/>
        <w:ind w:left="567" w:firstLine="709"/>
        <w:jc w:val="both"/>
        <w:rPr>
          <w:rFonts w:ascii="Times New Roman" w:hAnsi="Times New Roman" w:cs="Times New Roman"/>
          <w:i w:val="0"/>
          <w:color w:val="auto"/>
          <w:sz w:val="24"/>
          <w:szCs w:val="24"/>
        </w:rPr>
      </w:pPr>
      <w:r w:rsidRPr="00EC23E2">
        <w:rPr>
          <w:rFonts w:ascii="Times New Roman" w:hAnsi="Times New Roman" w:cs="Times New Roman"/>
          <w:i w:val="0"/>
          <w:color w:val="auto"/>
          <w:sz w:val="24"/>
          <w:szCs w:val="24"/>
        </w:rPr>
        <w:t>Minden olyan cég, amely ugyanazt a szolgáltatást nyújtja</w:t>
      </w:r>
    </w:p>
    <w:p w14:paraId="30F70D27" w14:textId="77777777" w:rsidR="001E0AAE" w:rsidRPr="00EC23E2" w:rsidRDefault="001E0AAE" w:rsidP="00EC10C5">
      <w:pPr>
        <w:pStyle w:val="Kpalrs"/>
        <w:numPr>
          <w:ilvl w:val="0"/>
          <w:numId w:val="12"/>
        </w:numPr>
        <w:tabs>
          <w:tab w:val="clear" w:pos="360"/>
          <w:tab w:val="num" w:pos="567"/>
        </w:tabs>
        <w:spacing w:after="60"/>
        <w:ind w:left="567" w:firstLine="709"/>
        <w:jc w:val="both"/>
        <w:rPr>
          <w:rFonts w:ascii="Times New Roman" w:hAnsi="Times New Roman" w:cs="Times New Roman"/>
          <w:i w:val="0"/>
          <w:color w:val="auto"/>
          <w:sz w:val="24"/>
          <w:szCs w:val="24"/>
        </w:rPr>
      </w:pPr>
      <w:r w:rsidRPr="00EC23E2">
        <w:rPr>
          <w:rFonts w:ascii="Times New Roman" w:hAnsi="Times New Roman" w:cs="Times New Roman"/>
          <w:i w:val="0"/>
          <w:color w:val="auto"/>
          <w:sz w:val="24"/>
          <w:szCs w:val="24"/>
        </w:rPr>
        <w:t xml:space="preserve">Minden vállalat ugyanazon fogyasztói pénztárcáért versenyez </w:t>
      </w:r>
    </w:p>
    <w:p w14:paraId="10C053C8" w14:textId="77777777" w:rsidR="001E0AAE" w:rsidRPr="00CB0A5E" w:rsidRDefault="001E0AAE"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A versenytársak értékelése</w:t>
      </w:r>
    </w:p>
    <w:p w14:paraId="3D5AE57D"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versenytársak azonosítása után a vállalat elemzi a versenytársak céljait, stratégiáit, erősségeit és gyengeségeit a vállalattal összehasonlítva. Előre megbecsülheti, hogy a </w:t>
      </w:r>
      <w:r w:rsidRPr="00CB0A5E">
        <w:rPr>
          <w:rFonts w:ascii="Times New Roman" w:hAnsi="Times New Roman" w:cs="Times New Roman"/>
          <w:sz w:val="24"/>
          <w:szCs w:val="24"/>
        </w:rPr>
        <w:lastRenderedPageBreak/>
        <w:t xml:space="preserve">versenytársak hogyan reagálnak a vállalat stratégiáira, milyen (jövőbeli) válaszlépéseik lehetnek. Az egyes szegmensekben a konkurensek eltérő stratégiákat alkalmazhatnak.   </w:t>
      </w:r>
    </w:p>
    <w:p w14:paraId="6322D156" w14:textId="77777777" w:rsidR="009A244E" w:rsidRDefault="009A244E" w:rsidP="00EC10C5">
      <w:pPr>
        <w:pStyle w:val="Kpalrs"/>
        <w:spacing w:after="60"/>
        <w:ind w:firstLine="709"/>
        <w:jc w:val="both"/>
        <w:rPr>
          <w:rFonts w:ascii="Times New Roman" w:hAnsi="Times New Roman" w:cs="Times New Roman"/>
          <w:sz w:val="24"/>
          <w:szCs w:val="24"/>
        </w:rPr>
      </w:pPr>
    </w:p>
    <w:p w14:paraId="49C5C3C8" w14:textId="5727C581" w:rsidR="001E0AAE" w:rsidRPr="009A244E" w:rsidRDefault="001E0AAE" w:rsidP="00EC10C5">
      <w:pPr>
        <w:pStyle w:val="Kpalrs"/>
        <w:spacing w:after="60"/>
        <w:ind w:firstLine="709"/>
        <w:jc w:val="center"/>
        <w:rPr>
          <w:rFonts w:ascii="Times New Roman" w:hAnsi="Times New Roman" w:cs="Times New Roman"/>
          <w:b/>
          <w:i w:val="0"/>
          <w:color w:val="000000" w:themeColor="text1"/>
          <w:sz w:val="24"/>
          <w:szCs w:val="24"/>
        </w:rPr>
      </w:pPr>
      <w:r w:rsidRPr="009A244E">
        <w:rPr>
          <w:rFonts w:ascii="Times New Roman" w:hAnsi="Times New Roman" w:cs="Times New Roman"/>
          <w:b/>
          <w:i w:val="0"/>
          <w:color w:val="000000" w:themeColor="text1"/>
          <w:sz w:val="24"/>
          <w:szCs w:val="24"/>
        </w:rPr>
        <w:fldChar w:fldCharType="begin"/>
      </w:r>
      <w:r w:rsidRPr="009A244E">
        <w:rPr>
          <w:rFonts w:ascii="Times New Roman" w:hAnsi="Times New Roman" w:cs="Times New Roman"/>
          <w:b/>
          <w:i w:val="0"/>
          <w:color w:val="000000" w:themeColor="text1"/>
          <w:sz w:val="24"/>
          <w:szCs w:val="24"/>
        </w:rPr>
        <w:instrText xml:space="preserve"> SEQ ábra \* ARABIC </w:instrText>
      </w:r>
      <w:r w:rsidRPr="009A244E">
        <w:rPr>
          <w:rFonts w:ascii="Times New Roman" w:hAnsi="Times New Roman" w:cs="Times New Roman"/>
          <w:b/>
          <w:i w:val="0"/>
          <w:color w:val="000000" w:themeColor="text1"/>
          <w:sz w:val="24"/>
          <w:szCs w:val="24"/>
        </w:rPr>
        <w:fldChar w:fldCharType="separate"/>
      </w:r>
      <w:r w:rsidR="006C213D">
        <w:rPr>
          <w:rFonts w:ascii="Times New Roman" w:hAnsi="Times New Roman" w:cs="Times New Roman"/>
          <w:b/>
          <w:i w:val="0"/>
          <w:noProof/>
          <w:color w:val="000000" w:themeColor="text1"/>
          <w:sz w:val="24"/>
          <w:szCs w:val="24"/>
        </w:rPr>
        <w:t>6</w:t>
      </w:r>
      <w:r w:rsidRPr="009A244E">
        <w:rPr>
          <w:rFonts w:ascii="Times New Roman" w:hAnsi="Times New Roman" w:cs="Times New Roman"/>
          <w:b/>
          <w:i w:val="0"/>
          <w:color w:val="000000" w:themeColor="text1"/>
          <w:sz w:val="24"/>
          <w:szCs w:val="24"/>
        </w:rPr>
        <w:fldChar w:fldCharType="end"/>
      </w:r>
      <w:r w:rsidRPr="009A244E">
        <w:rPr>
          <w:rFonts w:ascii="Times New Roman" w:hAnsi="Times New Roman" w:cs="Times New Roman"/>
          <w:b/>
          <w:i w:val="0"/>
          <w:color w:val="000000" w:themeColor="text1"/>
          <w:sz w:val="24"/>
          <w:szCs w:val="24"/>
        </w:rPr>
        <w:t>. ábra A versenytársak értékelése</w:t>
      </w:r>
    </w:p>
    <w:p w14:paraId="42F4ACF1" w14:textId="77777777" w:rsidR="001E0AAE" w:rsidRPr="00CB0A5E" w:rsidRDefault="001E0AAE"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noProof/>
          <w:sz w:val="24"/>
          <w:szCs w:val="24"/>
          <w:lang w:eastAsia="hu-HU"/>
        </w:rPr>
        <w:drawing>
          <wp:anchor distT="0" distB="0" distL="114300" distR="114300" simplePos="0" relativeHeight="251665408" behindDoc="0" locked="0" layoutInCell="1" allowOverlap="1" wp14:anchorId="69969760" wp14:editId="513A2640">
            <wp:simplePos x="0" y="0"/>
            <wp:positionH relativeFrom="column">
              <wp:posOffset>14605</wp:posOffset>
            </wp:positionH>
            <wp:positionV relativeFrom="paragraph">
              <wp:posOffset>607</wp:posOffset>
            </wp:positionV>
            <wp:extent cx="5760720" cy="2059388"/>
            <wp:effectExtent l="19050" t="0" r="11430" b="17145"/>
            <wp:wrapTopAndBottom/>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CB0A5E">
        <w:rPr>
          <w:rFonts w:ascii="Times New Roman" w:hAnsi="Times New Roman" w:cs="Times New Roman"/>
          <w:sz w:val="24"/>
          <w:szCs w:val="24"/>
        </w:rPr>
        <w:t xml:space="preserve"> </w:t>
      </w: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3F9B78DC" w14:textId="77777777" w:rsidR="001E0AAE" w:rsidRPr="00CB0A5E" w:rsidRDefault="001E0AAE" w:rsidP="00EC10C5">
      <w:pPr>
        <w:pStyle w:val="Kpalrs"/>
        <w:tabs>
          <w:tab w:val="left" w:pos="2835"/>
        </w:tabs>
        <w:spacing w:after="60"/>
        <w:ind w:firstLine="709"/>
        <w:jc w:val="both"/>
        <w:rPr>
          <w:rFonts w:ascii="Times New Roman" w:hAnsi="Times New Roman" w:cs="Times New Roman"/>
          <w:sz w:val="24"/>
          <w:szCs w:val="24"/>
        </w:rPr>
      </w:pPr>
    </w:p>
    <w:p w14:paraId="4A786B8F" w14:textId="77777777" w:rsidR="001E0AAE" w:rsidRPr="00CB0A5E" w:rsidRDefault="001E0AAE"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Versenytársak kiválasztása</w:t>
      </w:r>
    </w:p>
    <w:p w14:paraId="08C32C69"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El kell dönteni, hogy az erős vagy a gyenge versenytársakkal verseng a vállalat. Sok szervezet a gyenge versenytársakat támadja, mert az kevesebb erőforrást és időt igényel. Ugyanakkor kevesebb nyereséggel kecsegtet, mint az erősebb versenytársak. A vállalat dönthet úgy, hogy az erősebb versenytársakkal verseng, felismerve annak gyengeségeit.</w:t>
      </w:r>
    </w:p>
    <w:p w14:paraId="428B7B5B"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Cs/>
          <w:sz w:val="24"/>
          <w:szCs w:val="24"/>
        </w:rPr>
        <w:t>A gyenge és az erős versenytársak azonosításában hasznos eszköz lehet az ügyfélérték- elemzés.</w:t>
      </w:r>
      <w:r w:rsidRPr="00CB0A5E">
        <w:rPr>
          <w:rFonts w:ascii="Times New Roman" w:hAnsi="Times New Roman" w:cs="Times New Roman"/>
          <w:b/>
          <w:bCs/>
          <w:sz w:val="24"/>
          <w:szCs w:val="24"/>
        </w:rPr>
        <w:t xml:space="preserve"> Az ügyfélérték-elemzés </w:t>
      </w:r>
      <w:r w:rsidRPr="00CB0A5E">
        <w:rPr>
          <w:rFonts w:ascii="Times New Roman" w:hAnsi="Times New Roman" w:cs="Times New Roman"/>
          <w:sz w:val="24"/>
          <w:szCs w:val="24"/>
        </w:rPr>
        <w:t>(</w:t>
      </w:r>
      <w:proofErr w:type="spellStart"/>
      <w:r w:rsidRPr="00CB0A5E">
        <w:rPr>
          <w:rFonts w:ascii="Times New Roman" w:hAnsi="Times New Roman" w:cs="Times New Roman"/>
          <w:sz w:val="24"/>
          <w:szCs w:val="24"/>
        </w:rPr>
        <w:t>customer</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value</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analysis</w:t>
      </w:r>
      <w:proofErr w:type="spellEnd"/>
      <w:r w:rsidRPr="00CB0A5E">
        <w:rPr>
          <w:rFonts w:ascii="Times New Roman" w:hAnsi="Times New Roman" w:cs="Times New Roman"/>
          <w:sz w:val="24"/>
          <w:szCs w:val="24"/>
        </w:rPr>
        <w:t xml:space="preserve">) meghatározza azokat az előnyöket, amelyek a vevők értéknek tartanak, és </w:t>
      </w:r>
      <w:proofErr w:type="gramStart"/>
      <w:r w:rsidRPr="00CB0A5E">
        <w:rPr>
          <w:rFonts w:ascii="Times New Roman" w:hAnsi="Times New Roman" w:cs="Times New Roman"/>
          <w:sz w:val="24"/>
          <w:szCs w:val="24"/>
        </w:rPr>
        <w:t>azt</w:t>
      </w:r>
      <w:proofErr w:type="gramEnd"/>
      <w:r w:rsidRPr="00CB0A5E">
        <w:rPr>
          <w:rFonts w:ascii="Times New Roman" w:hAnsi="Times New Roman" w:cs="Times New Roman"/>
          <w:sz w:val="24"/>
          <w:szCs w:val="24"/>
        </w:rPr>
        <w:t xml:space="preserve"> hogy az ügyfelek hogyan értékelik a különböző versenytársak ajánlatait. </w:t>
      </w:r>
    </w:p>
    <w:p w14:paraId="7C082946"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Lépései:</w:t>
      </w:r>
    </w:p>
    <w:p w14:paraId="60244CC0"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Az ügyfelek által értékelt kulcsfontosságú jellemzők azonosítása és ezeknek az értékeknek a fontossága</w:t>
      </w:r>
    </w:p>
    <w:p w14:paraId="6BA1585C"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A vállalat és a versenytársak teljesítményének értékelése az értékelt tulajdonságok mentén</w:t>
      </w:r>
    </w:p>
    <w:p w14:paraId="27C7AFDE" w14:textId="77777777" w:rsidR="001E0AAE" w:rsidRPr="00EC23E2" w:rsidRDefault="001E0AAE" w:rsidP="00EC10C5">
      <w:pPr>
        <w:pStyle w:val="Listaszerbekezds"/>
        <w:numPr>
          <w:ilvl w:val="0"/>
          <w:numId w:val="13"/>
        </w:numPr>
        <w:spacing w:after="60" w:line="240" w:lineRule="auto"/>
        <w:ind w:left="567" w:firstLine="709"/>
        <w:rPr>
          <w:rFonts w:cs="Times New Roman"/>
          <w:szCs w:val="24"/>
        </w:rPr>
      </w:pPr>
      <w:r w:rsidRPr="00EC23E2">
        <w:rPr>
          <w:rFonts w:cs="Times New Roman"/>
          <w:szCs w:val="24"/>
        </w:rPr>
        <w:t xml:space="preserve">A versenytársakkal kapcsolatos naprakész információk eléréséhez sok vállalat épít ki </w:t>
      </w:r>
      <w:r w:rsidRPr="00EC23E2">
        <w:rPr>
          <w:rFonts w:cs="Times New Roman"/>
          <w:b/>
          <w:szCs w:val="24"/>
        </w:rPr>
        <w:t>versenytárs információs rendszert</w:t>
      </w:r>
      <w:r w:rsidRPr="00EC23E2">
        <w:rPr>
          <w:rFonts w:cs="Times New Roman"/>
          <w:szCs w:val="24"/>
        </w:rPr>
        <w:t xml:space="preserve">.  </w:t>
      </w:r>
    </w:p>
    <w:p w14:paraId="32B2A799" w14:textId="77777777" w:rsidR="001E0AAE" w:rsidRPr="00EC23E2" w:rsidRDefault="001E0AAE" w:rsidP="00EC10C5">
      <w:pPr>
        <w:pStyle w:val="Listaszerbekezds"/>
        <w:numPr>
          <w:ilvl w:val="0"/>
          <w:numId w:val="13"/>
        </w:numPr>
        <w:spacing w:after="60" w:line="240" w:lineRule="auto"/>
        <w:ind w:left="567" w:firstLine="709"/>
        <w:rPr>
          <w:rFonts w:cs="Times New Roman"/>
          <w:szCs w:val="24"/>
        </w:rPr>
      </w:pPr>
      <w:r w:rsidRPr="00EC23E2">
        <w:rPr>
          <w:rFonts w:cs="Times New Roman"/>
          <w:szCs w:val="24"/>
        </w:rPr>
        <w:t>Versenytárs információs rendszer kialakításának feladatai:</w:t>
      </w:r>
    </w:p>
    <w:p w14:paraId="0AD46B28"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Azonosítja a versenyképes információkat és a legjobb információforrásokat</w:t>
      </w:r>
    </w:p>
    <w:p w14:paraId="121F9774"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Folyamatosan gyűjt adatokat</w:t>
      </w:r>
    </w:p>
    <w:p w14:paraId="61020046"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Ellenőrzi az adatok érvényességét és megbízhatóságát</w:t>
      </w:r>
    </w:p>
    <w:p w14:paraId="24D1740B"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Interpretálja az információkat</w:t>
      </w:r>
    </w:p>
    <w:p w14:paraId="125D9215"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Rendszerezi az információkat</w:t>
      </w:r>
    </w:p>
    <w:p w14:paraId="2AB9D911"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Legfontosabb információkat megküldi a megfelelő döntéshozóknak</w:t>
      </w:r>
    </w:p>
    <w:p w14:paraId="36C925D0" w14:textId="77777777" w:rsidR="001E0AAE" w:rsidRPr="00CB0A5E" w:rsidRDefault="001E0AAE" w:rsidP="00EC10C5">
      <w:pPr>
        <w:numPr>
          <w:ilvl w:val="0"/>
          <w:numId w:val="13"/>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A versenytársakkal kapcsolatos kérdésekre válaszol</w:t>
      </w:r>
    </w:p>
    <w:p w14:paraId="5DBC5EB9"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1E8AC7F6" w14:textId="77777777" w:rsidR="001E0AAE" w:rsidRPr="00CB0A5E" w:rsidRDefault="001E0AAE" w:rsidP="00EC10C5">
      <w:pPr>
        <w:pStyle w:val="Stlus1"/>
      </w:pPr>
      <w:bookmarkStart w:id="16" w:name="_Toc18440808"/>
      <w:r w:rsidRPr="00CB0A5E">
        <w:rPr>
          <w:lang w:val="en-US"/>
        </w:rPr>
        <w:t xml:space="preserve">A </w:t>
      </w:r>
      <w:proofErr w:type="spellStart"/>
      <w:r w:rsidRPr="00CB0A5E">
        <w:rPr>
          <w:lang w:val="en-US"/>
        </w:rPr>
        <w:t>vállalati</w:t>
      </w:r>
      <w:proofErr w:type="spellEnd"/>
      <w:r w:rsidRPr="00CB0A5E">
        <w:rPr>
          <w:lang w:val="en-US"/>
        </w:rPr>
        <w:t xml:space="preserve"> </w:t>
      </w:r>
      <w:proofErr w:type="spellStart"/>
      <w:r w:rsidRPr="00CB0A5E">
        <w:rPr>
          <w:lang w:val="en-US"/>
        </w:rPr>
        <w:t>versenystratégiák</w:t>
      </w:r>
      <w:proofErr w:type="spellEnd"/>
      <w:r w:rsidRPr="00CB0A5E">
        <w:rPr>
          <w:lang w:val="en-US"/>
        </w:rPr>
        <w:t xml:space="preserve"> Porter </w:t>
      </w:r>
      <w:proofErr w:type="spellStart"/>
      <w:r w:rsidRPr="00CB0A5E">
        <w:rPr>
          <w:lang w:val="en-US"/>
        </w:rPr>
        <w:t>szerint</w:t>
      </w:r>
      <w:bookmarkEnd w:id="16"/>
      <w:proofErr w:type="spellEnd"/>
    </w:p>
    <w:p w14:paraId="4D25D94B" w14:textId="77777777" w:rsidR="001E0AA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Évtizedekkel ezelőtt </w:t>
      </w:r>
      <w:proofErr w:type="spellStart"/>
      <w:r w:rsidRPr="00CB0A5E">
        <w:rPr>
          <w:rFonts w:ascii="Times New Roman" w:hAnsi="Times New Roman" w:cs="Times New Roman"/>
          <w:sz w:val="24"/>
          <w:szCs w:val="24"/>
        </w:rPr>
        <w:t>Porter</w:t>
      </w:r>
      <w:proofErr w:type="spellEnd"/>
      <w:r w:rsidRPr="00CB0A5E">
        <w:rPr>
          <w:rFonts w:ascii="Times New Roman" w:hAnsi="Times New Roman" w:cs="Times New Roman"/>
          <w:sz w:val="24"/>
          <w:szCs w:val="24"/>
        </w:rPr>
        <w:t xml:space="preserve"> javaslatot tett négy alapvető pozicionáló versenystratégiára. ezek közül három sikeres stratégia lehet, egy sikertelen. </w:t>
      </w:r>
    </w:p>
    <w:p w14:paraId="400E038A" w14:textId="77777777" w:rsidR="009A244E" w:rsidRDefault="009A244E" w:rsidP="00EC10C5">
      <w:pPr>
        <w:spacing w:after="60" w:line="240" w:lineRule="auto"/>
        <w:ind w:firstLine="709"/>
        <w:jc w:val="both"/>
        <w:rPr>
          <w:rFonts w:ascii="Times New Roman" w:hAnsi="Times New Roman" w:cs="Times New Roman"/>
          <w:sz w:val="24"/>
          <w:szCs w:val="24"/>
        </w:rPr>
      </w:pPr>
    </w:p>
    <w:p w14:paraId="74AA912F" w14:textId="77777777" w:rsidR="009A244E" w:rsidRPr="00CB0A5E" w:rsidRDefault="009A244E" w:rsidP="00EC10C5">
      <w:pPr>
        <w:spacing w:after="60" w:line="240" w:lineRule="auto"/>
        <w:ind w:firstLine="709"/>
        <w:jc w:val="both"/>
        <w:rPr>
          <w:rFonts w:ascii="Times New Roman" w:hAnsi="Times New Roman" w:cs="Times New Roman"/>
          <w:sz w:val="24"/>
          <w:szCs w:val="24"/>
        </w:rPr>
      </w:pPr>
    </w:p>
    <w:p w14:paraId="4E909FED"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1D5417A6" w14:textId="606A5BCB" w:rsidR="001E0AAE" w:rsidRPr="009A244E" w:rsidRDefault="001E0AAE" w:rsidP="00EC10C5">
      <w:pPr>
        <w:pStyle w:val="Kpalrs"/>
        <w:spacing w:after="60"/>
        <w:ind w:firstLine="709"/>
        <w:jc w:val="center"/>
        <w:rPr>
          <w:rFonts w:ascii="Times New Roman" w:hAnsi="Times New Roman" w:cs="Times New Roman"/>
          <w:b/>
          <w:i w:val="0"/>
          <w:color w:val="000000" w:themeColor="text1"/>
          <w:sz w:val="24"/>
          <w:szCs w:val="24"/>
        </w:rPr>
      </w:pPr>
      <w:r w:rsidRPr="009A244E">
        <w:rPr>
          <w:rFonts w:ascii="Times New Roman" w:hAnsi="Times New Roman" w:cs="Times New Roman"/>
          <w:b/>
          <w:i w:val="0"/>
          <w:color w:val="000000" w:themeColor="text1"/>
          <w:sz w:val="24"/>
          <w:szCs w:val="24"/>
        </w:rPr>
        <w:fldChar w:fldCharType="begin"/>
      </w:r>
      <w:r w:rsidRPr="009A244E">
        <w:rPr>
          <w:rFonts w:ascii="Times New Roman" w:hAnsi="Times New Roman" w:cs="Times New Roman"/>
          <w:b/>
          <w:i w:val="0"/>
          <w:color w:val="000000" w:themeColor="text1"/>
          <w:sz w:val="24"/>
          <w:szCs w:val="24"/>
        </w:rPr>
        <w:instrText xml:space="preserve"> SEQ ábra \* ARABIC </w:instrText>
      </w:r>
      <w:r w:rsidRPr="009A244E">
        <w:rPr>
          <w:rFonts w:ascii="Times New Roman" w:hAnsi="Times New Roman" w:cs="Times New Roman"/>
          <w:b/>
          <w:i w:val="0"/>
          <w:color w:val="000000" w:themeColor="text1"/>
          <w:sz w:val="24"/>
          <w:szCs w:val="24"/>
        </w:rPr>
        <w:fldChar w:fldCharType="separate"/>
      </w:r>
      <w:r w:rsidR="006C213D">
        <w:rPr>
          <w:rFonts w:ascii="Times New Roman" w:hAnsi="Times New Roman" w:cs="Times New Roman"/>
          <w:b/>
          <w:i w:val="0"/>
          <w:noProof/>
          <w:color w:val="000000" w:themeColor="text1"/>
          <w:sz w:val="24"/>
          <w:szCs w:val="24"/>
        </w:rPr>
        <w:t>7</w:t>
      </w:r>
      <w:r w:rsidRPr="009A244E">
        <w:rPr>
          <w:rFonts w:ascii="Times New Roman" w:hAnsi="Times New Roman" w:cs="Times New Roman"/>
          <w:b/>
          <w:i w:val="0"/>
          <w:color w:val="000000" w:themeColor="text1"/>
          <w:sz w:val="24"/>
          <w:szCs w:val="24"/>
        </w:rPr>
        <w:fldChar w:fldCharType="end"/>
      </w:r>
      <w:r w:rsidRPr="009A244E">
        <w:rPr>
          <w:rFonts w:ascii="Times New Roman" w:hAnsi="Times New Roman" w:cs="Times New Roman"/>
          <w:b/>
          <w:i w:val="0"/>
          <w:color w:val="000000" w:themeColor="text1"/>
          <w:sz w:val="24"/>
          <w:szCs w:val="24"/>
        </w:rPr>
        <w:t xml:space="preserve">. ábra </w:t>
      </w:r>
      <w:r w:rsidRPr="009A244E">
        <w:rPr>
          <w:rFonts w:ascii="Times New Roman" w:hAnsi="Times New Roman" w:cs="Times New Roman"/>
          <w:b/>
          <w:i w:val="0"/>
          <w:color w:val="000000" w:themeColor="text1"/>
          <w:sz w:val="24"/>
          <w:szCs w:val="24"/>
          <w:lang w:val="en-US"/>
        </w:rPr>
        <w:t xml:space="preserve">A </w:t>
      </w:r>
      <w:proofErr w:type="spellStart"/>
      <w:r w:rsidRPr="009A244E">
        <w:rPr>
          <w:rFonts w:ascii="Times New Roman" w:hAnsi="Times New Roman" w:cs="Times New Roman"/>
          <w:b/>
          <w:i w:val="0"/>
          <w:color w:val="000000" w:themeColor="text1"/>
          <w:sz w:val="24"/>
          <w:szCs w:val="24"/>
          <w:lang w:val="en-US"/>
        </w:rPr>
        <w:t>vállalati</w:t>
      </w:r>
      <w:proofErr w:type="spellEnd"/>
      <w:r w:rsidRPr="009A244E">
        <w:rPr>
          <w:rFonts w:ascii="Times New Roman" w:hAnsi="Times New Roman" w:cs="Times New Roman"/>
          <w:b/>
          <w:i w:val="0"/>
          <w:color w:val="000000" w:themeColor="text1"/>
          <w:sz w:val="24"/>
          <w:szCs w:val="24"/>
          <w:lang w:val="en-US"/>
        </w:rPr>
        <w:t xml:space="preserve"> </w:t>
      </w:r>
      <w:proofErr w:type="spellStart"/>
      <w:r w:rsidRPr="009A244E">
        <w:rPr>
          <w:rFonts w:ascii="Times New Roman" w:hAnsi="Times New Roman" w:cs="Times New Roman"/>
          <w:b/>
          <w:i w:val="0"/>
          <w:color w:val="000000" w:themeColor="text1"/>
          <w:sz w:val="24"/>
          <w:szCs w:val="24"/>
          <w:lang w:val="en-US"/>
        </w:rPr>
        <w:t>versenystratégiák</w:t>
      </w:r>
      <w:proofErr w:type="spellEnd"/>
      <w:r w:rsidRPr="009A244E">
        <w:rPr>
          <w:rFonts w:ascii="Times New Roman" w:hAnsi="Times New Roman" w:cs="Times New Roman"/>
          <w:b/>
          <w:i w:val="0"/>
          <w:color w:val="000000" w:themeColor="text1"/>
          <w:sz w:val="24"/>
          <w:szCs w:val="24"/>
          <w:lang w:val="en-US"/>
        </w:rPr>
        <w:t xml:space="preserve"> Porter </w:t>
      </w:r>
      <w:proofErr w:type="spellStart"/>
      <w:r w:rsidRPr="009A244E">
        <w:rPr>
          <w:rFonts w:ascii="Times New Roman" w:hAnsi="Times New Roman" w:cs="Times New Roman"/>
          <w:b/>
          <w:i w:val="0"/>
          <w:color w:val="000000" w:themeColor="text1"/>
          <w:sz w:val="24"/>
          <w:szCs w:val="24"/>
          <w:lang w:val="en-US"/>
        </w:rPr>
        <w:t>alapján</w:t>
      </w:r>
      <w:proofErr w:type="spellEnd"/>
    </w:p>
    <w:p w14:paraId="3E1BF8E5" w14:textId="77777777" w:rsidR="001E0AAE" w:rsidRPr="00CB0A5E" w:rsidRDefault="001E0AAE" w:rsidP="00EC10C5">
      <w:pPr>
        <w:pStyle w:val="Kpalrs"/>
        <w:spacing w:after="60"/>
        <w:ind w:firstLine="709"/>
        <w:jc w:val="both"/>
        <w:rPr>
          <w:rFonts w:ascii="Times New Roman" w:hAnsi="Times New Roman" w:cs="Times New Roman"/>
          <w:sz w:val="24"/>
          <w:szCs w:val="24"/>
        </w:rPr>
      </w:pPr>
    </w:p>
    <w:p w14:paraId="52284EDE" w14:textId="77777777" w:rsidR="001E0AAE" w:rsidRPr="00CB0A5E" w:rsidRDefault="001E0AAE" w:rsidP="00EC10C5">
      <w:pPr>
        <w:spacing w:after="60" w:line="240" w:lineRule="auto"/>
        <w:ind w:firstLine="709"/>
        <w:jc w:val="center"/>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3EDA4010" wp14:editId="04B508A9">
            <wp:extent cx="2895600" cy="1744302"/>
            <wp:effectExtent l="0" t="0" r="0" b="889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2430" cy="1748416"/>
                    </a:xfrm>
                    <a:prstGeom prst="rect">
                      <a:avLst/>
                    </a:prstGeom>
                    <a:noFill/>
                  </pic:spPr>
                </pic:pic>
              </a:graphicData>
            </a:graphic>
          </wp:inline>
        </w:drawing>
      </w:r>
    </w:p>
    <w:p w14:paraId="6F668724" w14:textId="77777777" w:rsidR="001E0AAE" w:rsidRPr="00CB0A5E" w:rsidRDefault="001E0AAE" w:rsidP="00EC10C5">
      <w:pPr>
        <w:spacing w:after="60" w:line="240" w:lineRule="auto"/>
        <w:ind w:left="2123" w:firstLine="709"/>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4B5B70E1" w14:textId="77777777" w:rsidR="001E0AAE" w:rsidRPr="00CB0A5E" w:rsidRDefault="001E0AAE" w:rsidP="00EC10C5">
      <w:pPr>
        <w:spacing w:after="60" w:line="240" w:lineRule="auto"/>
        <w:ind w:firstLine="709"/>
        <w:jc w:val="both"/>
        <w:rPr>
          <w:rFonts w:ascii="Times New Roman" w:hAnsi="Times New Roman" w:cs="Times New Roman"/>
          <w:sz w:val="24"/>
          <w:szCs w:val="24"/>
        </w:rPr>
      </w:pPr>
    </w:p>
    <w:p w14:paraId="0E064ADF"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Költségdiktáló stratégia -</w:t>
      </w:r>
      <w:r w:rsidRPr="00CB0A5E">
        <w:rPr>
          <w:rFonts w:ascii="Times New Roman" w:hAnsi="Times New Roman" w:cs="Times New Roman"/>
          <w:b/>
          <w:bCs/>
          <w:sz w:val="24"/>
          <w:szCs w:val="24"/>
          <w:lang w:val="en-US"/>
        </w:rPr>
        <w:t xml:space="preserve"> </w:t>
      </w:r>
      <w:r w:rsidRPr="00CB0A5E">
        <w:rPr>
          <w:rFonts w:ascii="Times New Roman" w:hAnsi="Times New Roman" w:cs="Times New Roman"/>
          <w:sz w:val="24"/>
          <w:szCs w:val="24"/>
        </w:rPr>
        <w:t>a nagyfokú termelési hatékonyság és az ezzel párosuló fegyelmezett költséggazdálkodás lehetővé teszi, hogy a vállalat költségdiktáló stratégiát kövessen a piacon.</w:t>
      </w:r>
    </w:p>
    <w:p w14:paraId="22730C67"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Differenciáló stratégia</w:t>
      </w:r>
      <w:r w:rsidRPr="00CB0A5E">
        <w:rPr>
          <w:rFonts w:ascii="Times New Roman" w:hAnsi="Times New Roman" w:cs="Times New Roman"/>
          <w:sz w:val="24"/>
          <w:szCs w:val="24"/>
          <w:lang w:val="en-US"/>
        </w:rPr>
        <w:t xml:space="preserve"> - </w:t>
      </w:r>
      <w:r w:rsidRPr="00CB0A5E">
        <w:rPr>
          <w:rFonts w:ascii="Times New Roman" w:hAnsi="Times New Roman" w:cs="Times New Roman"/>
          <w:sz w:val="24"/>
          <w:szCs w:val="24"/>
        </w:rPr>
        <w:t>a vállalat arra koncentrál, hogy a piac túlnyomó része által nagyra értékelt, a vevők számára előnyt biztosító, lényeges területen kimagasló teljesítményt érjen el.</w:t>
      </w:r>
    </w:p>
    <w:p w14:paraId="32AF9885"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Koncentráló stratégia</w:t>
      </w:r>
      <w:r w:rsidRPr="00CB0A5E">
        <w:rPr>
          <w:rFonts w:ascii="Times New Roman" w:hAnsi="Times New Roman" w:cs="Times New Roman"/>
          <w:sz w:val="24"/>
          <w:szCs w:val="24"/>
          <w:lang w:val="en-US"/>
        </w:rPr>
        <w:t xml:space="preserve"> - e</w:t>
      </w:r>
      <w:proofErr w:type="spellStart"/>
      <w:r w:rsidRPr="00CB0A5E">
        <w:rPr>
          <w:rFonts w:ascii="Times New Roman" w:hAnsi="Times New Roman" w:cs="Times New Roman"/>
          <w:sz w:val="24"/>
          <w:szCs w:val="24"/>
        </w:rPr>
        <w:t>rősségük</w:t>
      </w:r>
      <w:proofErr w:type="spellEnd"/>
      <w:r w:rsidRPr="00CB0A5E">
        <w:rPr>
          <w:rFonts w:ascii="Times New Roman" w:hAnsi="Times New Roman" w:cs="Times New Roman"/>
          <w:sz w:val="24"/>
          <w:szCs w:val="24"/>
        </w:rPr>
        <w:t xml:space="preserve"> egy-egy piaci szegmentum igényeinek kielégítésében, az ennek megfelelő termékfejlesztésben rejlik.</w:t>
      </w:r>
    </w:p>
    <w:p w14:paraId="157AFCA3"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Harmadikutas (</w:t>
      </w:r>
      <w:proofErr w:type="spellStart"/>
      <w:r w:rsidRPr="00CB0A5E">
        <w:rPr>
          <w:rFonts w:ascii="Times New Roman" w:hAnsi="Times New Roman" w:cs="Times New Roman"/>
          <w:b/>
          <w:sz w:val="24"/>
          <w:szCs w:val="24"/>
        </w:rPr>
        <w:t>middle</w:t>
      </w:r>
      <w:proofErr w:type="spellEnd"/>
      <w:r w:rsidRPr="00CB0A5E">
        <w:rPr>
          <w:rFonts w:ascii="Times New Roman" w:hAnsi="Times New Roman" w:cs="Times New Roman"/>
          <w:b/>
          <w:sz w:val="24"/>
          <w:szCs w:val="24"/>
        </w:rPr>
        <w:t xml:space="preserve"> </w:t>
      </w:r>
      <w:proofErr w:type="spellStart"/>
      <w:r w:rsidRPr="00CB0A5E">
        <w:rPr>
          <w:rFonts w:ascii="Times New Roman" w:hAnsi="Times New Roman" w:cs="Times New Roman"/>
          <w:b/>
          <w:sz w:val="24"/>
          <w:szCs w:val="24"/>
        </w:rPr>
        <w:t>off</w:t>
      </w:r>
      <w:proofErr w:type="spellEnd"/>
      <w:r w:rsidRPr="00CB0A5E">
        <w:rPr>
          <w:rFonts w:ascii="Times New Roman" w:hAnsi="Times New Roman" w:cs="Times New Roman"/>
          <w:b/>
          <w:sz w:val="24"/>
          <w:szCs w:val="24"/>
        </w:rPr>
        <w:t xml:space="preserve"> </w:t>
      </w:r>
      <w:proofErr w:type="spellStart"/>
      <w:r w:rsidRPr="00CB0A5E">
        <w:rPr>
          <w:rFonts w:ascii="Times New Roman" w:hAnsi="Times New Roman" w:cs="Times New Roman"/>
          <w:b/>
          <w:sz w:val="24"/>
          <w:szCs w:val="24"/>
        </w:rPr>
        <w:t>the</w:t>
      </w:r>
      <w:proofErr w:type="spellEnd"/>
      <w:r w:rsidRPr="00CB0A5E">
        <w:rPr>
          <w:rFonts w:ascii="Times New Roman" w:hAnsi="Times New Roman" w:cs="Times New Roman"/>
          <w:b/>
          <w:sz w:val="24"/>
          <w:szCs w:val="24"/>
        </w:rPr>
        <w:t xml:space="preserve"> </w:t>
      </w:r>
      <w:proofErr w:type="spellStart"/>
      <w:r w:rsidRPr="00CB0A5E">
        <w:rPr>
          <w:rFonts w:ascii="Times New Roman" w:hAnsi="Times New Roman" w:cs="Times New Roman"/>
          <w:b/>
          <w:sz w:val="24"/>
          <w:szCs w:val="24"/>
        </w:rPr>
        <w:t>road</w:t>
      </w:r>
      <w:proofErr w:type="spellEnd"/>
      <w:r w:rsidRPr="00CB0A5E">
        <w:rPr>
          <w:rFonts w:ascii="Times New Roman" w:hAnsi="Times New Roman" w:cs="Times New Roman"/>
          <w:b/>
          <w:sz w:val="24"/>
          <w:szCs w:val="24"/>
        </w:rPr>
        <w:t>)</w:t>
      </w:r>
      <w:r w:rsidRPr="00CB0A5E">
        <w:rPr>
          <w:rFonts w:ascii="Times New Roman" w:hAnsi="Times New Roman" w:cs="Times New Roman"/>
          <w:sz w:val="24"/>
          <w:szCs w:val="24"/>
        </w:rPr>
        <w:t xml:space="preserve"> – </w:t>
      </w:r>
      <w:proofErr w:type="spellStart"/>
      <w:r w:rsidRPr="00CB0A5E">
        <w:rPr>
          <w:rFonts w:ascii="Times New Roman" w:hAnsi="Times New Roman" w:cs="Times New Roman"/>
          <w:sz w:val="24"/>
          <w:szCs w:val="24"/>
        </w:rPr>
        <w:t>Porter</w:t>
      </w:r>
      <w:proofErr w:type="spellEnd"/>
      <w:r w:rsidRPr="00CB0A5E">
        <w:rPr>
          <w:rFonts w:ascii="Times New Roman" w:hAnsi="Times New Roman" w:cs="Times New Roman"/>
          <w:sz w:val="24"/>
          <w:szCs w:val="24"/>
        </w:rPr>
        <w:t xml:space="preserve"> kiemeli, hogy csak a világos stratégiát követelő vállalat tud kiváló teljesítményt nyújtani. A világos stratégia nélkül működő vállalat, a „</w:t>
      </w:r>
      <w:proofErr w:type="spellStart"/>
      <w:r w:rsidRPr="00CB0A5E">
        <w:rPr>
          <w:rFonts w:ascii="Times New Roman" w:hAnsi="Times New Roman" w:cs="Times New Roman"/>
          <w:sz w:val="24"/>
          <w:szCs w:val="24"/>
        </w:rPr>
        <w:t>Middle</w:t>
      </w:r>
      <w:proofErr w:type="spellEnd"/>
      <w:r w:rsidRPr="00CB0A5E">
        <w:rPr>
          <w:rFonts w:ascii="Times New Roman" w:hAnsi="Times New Roman" w:cs="Times New Roman"/>
          <w:sz w:val="24"/>
          <w:szCs w:val="24"/>
        </w:rPr>
        <w:t xml:space="preserve"> of </w:t>
      </w:r>
      <w:proofErr w:type="spellStart"/>
      <w:r w:rsidRPr="00CB0A5E">
        <w:rPr>
          <w:rFonts w:ascii="Times New Roman" w:hAnsi="Times New Roman" w:cs="Times New Roman"/>
          <w:sz w:val="24"/>
          <w:szCs w:val="24"/>
        </w:rPr>
        <w:t>the</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road</w:t>
      </w:r>
      <w:proofErr w:type="spellEnd"/>
      <w:r w:rsidRPr="00CB0A5E">
        <w:rPr>
          <w:rFonts w:ascii="Times New Roman" w:hAnsi="Times New Roman" w:cs="Times New Roman"/>
          <w:sz w:val="24"/>
          <w:szCs w:val="24"/>
        </w:rPr>
        <w:t xml:space="preserve">" stratégia nem válhat sikeressé. </w:t>
      </w:r>
    </w:p>
    <w:p w14:paraId="2A3AB648" w14:textId="77777777" w:rsidR="001E0AAE" w:rsidRDefault="001E0AAE" w:rsidP="00EC10C5">
      <w:pPr>
        <w:spacing w:after="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Összefoglalva, bár a versenytárs orientáció, a versenytársak elemzése kulcsfontosságú a vállalatok számára, a vállalatoknak nem szabad megfeledkezni a piac orientáció, a vevői érték fontosságáról, és egyensúlyt kell találni a vevőkkel és versenytársakkal kapcsolatos vállalati érdekek között. </w:t>
      </w:r>
    </w:p>
    <w:p w14:paraId="296FC36C" w14:textId="77777777" w:rsidR="009A244E" w:rsidRPr="00CB0A5E" w:rsidRDefault="009A244E" w:rsidP="00EC10C5">
      <w:pPr>
        <w:spacing w:after="60" w:line="240" w:lineRule="auto"/>
        <w:ind w:firstLine="709"/>
        <w:jc w:val="both"/>
        <w:rPr>
          <w:rFonts w:ascii="Times New Roman" w:eastAsiaTheme="majorEastAsia" w:hAnsi="Times New Roman" w:cs="Times New Roman"/>
          <w:b/>
          <w:bCs/>
          <w:caps/>
          <w:spacing w:val="4"/>
          <w:sz w:val="24"/>
          <w:szCs w:val="24"/>
        </w:rPr>
      </w:pPr>
    </w:p>
    <w:p w14:paraId="3FA8C2DA" w14:textId="77777777" w:rsidR="001E0AAE" w:rsidRPr="00EC23E2" w:rsidRDefault="001E0AAE" w:rsidP="00EC10C5">
      <w:pPr>
        <w:pStyle w:val="Cmsor2"/>
        <w:numPr>
          <w:ilvl w:val="1"/>
          <w:numId w:val="8"/>
        </w:numPr>
        <w:spacing w:after="60" w:line="240" w:lineRule="auto"/>
        <w:ind w:left="0" w:firstLine="709"/>
        <w:jc w:val="both"/>
        <w:rPr>
          <w:rFonts w:ascii="Times New Roman" w:hAnsi="Times New Roman" w:cs="Times New Roman"/>
          <w:b/>
          <w:sz w:val="24"/>
          <w:szCs w:val="24"/>
        </w:rPr>
      </w:pPr>
      <w:bookmarkStart w:id="17" w:name="_Toc1568849"/>
      <w:bookmarkStart w:id="18" w:name="_Toc18440809"/>
      <w:r w:rsidRPr="00EC23E2">
        <w:rPr>
          <w:rFonts w:ascii="Times New Roman" w:hAnsi="Times New Roman" w:cs="Times New Roman"/>
          <w:b/>
          <w:sz w:val="24"/>
          <w:szCs w:val="24"/>
        </w:rPr>
        <w:t>Szegmentálás, célpiac kiválasztása, pozicionálás (SZTP)</w:t>
      </w:r>
      <w:bookmarkEnd w:id="17"/>
      <w:bookmarkEnd w:id="18"/>
    </w:p>
    <w:p w14:paraId="4847FD03"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A vállalatok napjainkban egyre inkább tudatosítják, hogy nem tudnak minden vevőt azonos módon kiszolgálni. A marketing stratégia célja megfelelő vevőkapcsolatot kiépíteni a megfelelő vevőkkel. Ebben a fejezetben azt vizsgáljuk meg, hogy a cégek hogyan határozzák meg, hogy kik a megfelelő vevők, és hogy hogyan lehet legjobban kiszolgálni őket.</w:t>
      </w:r>
    </w:p>
    <w:p w14:paraId="0CC23170"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vevőorientált marketing stratégia négy lépésből áll: a piac szegmentálása, a célpiac kiválasztása, pozicionálás és differenciálás. </w:t>
      </w:r>
    </w:p>
    <w:p w14:paraId="10EF44E5"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piac szegmentálása</w:t>
      </w:r>
      <w:r w:rsidRPr="00CB0A5E">
        <w:rPr>
          <w:rFonts w:ascii="Times New Roman" w:hAnsi="Times New Roman" w:cs="Times New Roman"/>
          <w:sz w:val="24"/>
          <w:szCs w:val="24"/>
        </w:rPr>
        <w:t xml:space="preserve"> a vevők homogén csoportjainak meghatározásával történik bizonyos kritériumok figyelembevételével. </w:t>
      </w:r>
      <w:r w:rsidRPr="00CB0A5E">
        <w:rPr>
          <w:rFonts w:ascii="Times New Roman" w:hAnsi="Times New Roman" w:cs="Times New Roman"/>
          <w:bCs/>
          <w:sz w:val="24"/>
          <w:szCs w:val="24"/>
        </w:rPr>
        <w:t>Piaci szegmens</w:t>
      </w:r>
      <w:r w:rsidRPr="00CB0A5E">
        <w:rPr>
          <w:rFonts w:ascii="Times New Roman" w:hAnsi="Times New Roman" w:cs="Times New Roman"/>
          <w:sz w:val="24"/>
          <w:szCs w:val="24"/>
        </w:rPr>
        <w:t xml:space="preserve"> a hasonló tulajdonságokkal jellemezhető vevők egy olyan csoportja, akik a vállalat marketing stratégiája szempontjából hasonló vásárlási szokásokkal</w:t>
      </w:r>
      <w:r w:rsidRPr="00CB0A5E">
        <w:rPr>
          <w:rFonts w:ascii="Times New Roman" w:hAnsi="Times New Roman" w:cs="Times New Roman"/>
          <w:b/>
          <w:bCs/>
          <w:sz w:val="24"/>
          <w:szCs w:val="24"/>
        </w:rPr>
        <w:t xml:space="preserve">.  </w:t>
      </w:r>
    </w:p>
    <w:p w14:paraId="4632C94D"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célpiac meghatározás</w:t>
      </w:r>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targeting</w:t>
      </w:r>
      <w:proofErr w:type="spellEnd"/>
      <w:r w:rsidRPr="00CB0A5E">
        <w:rPr>
          <w:rFonts w:ascii="Times New Roman" w:hAnsi="Times New Roman" w:cs="Times New Roman"/>
          <w:sz w:val="24"/>
          <w:szCs w:val="24"/>
        </w:rPr>
        <w:t xml:space="preserve">) során azokat a szegmenseket határozzuk meg, amelyek a vállalat számára leginkább vonzóak. </w:t>
      </w:r>
    </w:p>
    <w:p w14:paraId="25616D16"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lastRenderedPageBreak/>
        <w:t>A pozicionálás</w:t>
      </w:r>
      <w:r w:rsidRPr="00CB0A5E">
        <w:rPr>
          <w:rFonts w:ascii="Times New Roman" w:hAnsi="Times New Roman" w:cs="Times New Roman"/>
          <w:sz w:val="24"/>
          <w:szCs w:val="24"/>
        </w:rPr>
        <w:t xml:space="preserve"> során a versenytársakhoz képest saját helyünket meghatározzuk, és a jövőbeni elképzeléseinket megjelenítsük. A pozicionálás során a cél, hogy a kiválasztott célcsoportokban egy olyan kép alakuljon ki a vállalat termékeiről, amely a termékek egyedi jellemzőin keresztül versenyelőnyt jelent a vállalatnak. </w:t>
      </w:r>
    </w:p>
    <w:p w14:paraId="25A29DDD" w14:textId="77777777" w:rsidR="001E0AA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differenciálás </w:t>
      </w:r>
      <w:r w:rsidRPr="00CB0A5E">
        <w:rPr>
          <w:rFonts w:ascii="Times New Roman" w:hAnsi="Times New Roman" w:cs="Times New Roman"/>
          <w:sz w:val="24"/>
          <w:szCs w:val="24"/>
        </w:rPr>
        <w:t xml:space="preserve">a termék megkülönböztetése a többi terméktől. </w:t>
      </w:r>
    </w:p>
    <w:p w14:paraId="6A8EFBF4" w14:textId="77777777" w:rsidR="0001325B" w:rsidRPr="00CB0A5E" w:rsidRDefault="0001325B" w:rsidP="00EC10C5">
      <w:pPr>
        <w:spacing w:after="60" w:line="240" w:lineRule="auto"/>
        <w:ind w:firstLine="709"/>
        <w:jc w:val="both"/>
        <w:rPr>
          <w:rFonts w:ascii="Times New Roman" w:hAnsi="Times New Roman" w:cs="Times New Roman"/>
          <w:sz w:val="24"/>
          <w:szCs w:val="24"/>
        </w:rPr>
      </w:pPr>
    </w:p>
    <w:p w14:paraId="0A64A339" w14:textId="77777777" w:rsidR="001E0AAE" w:rsidRPr="00CB0A5E" w:rsidRDefault="001E0AAE" w:rsidP="00EC10C5">
      <w:pPr>
        <w:pStyle w:val="Stlus1"/>
      </w:pPr>
      <w:bookmarkStart w:id="19" w:name="_Toc1568850"/>
      <w:bookmarkStart w:id="20" w:name="_Toc18440810"/>
      <w:r w:rsidRPr="00CB0A5E">
        <w:t>Szegmentálás</w:t>
      </w:r>
      <w:bookmarkEnd w:id="19"/>
      <w:bookmarkEnd w:id="20"/>
      <w:r w:rsidRPr="00CB0A5E">
        <w:t xml:space="preserve"> </w:t>
      </w:r>
    </w:p>
    <w:p w14:paraId="51D6848B"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Csak nagyon kevés termék alkalmas arra, hogy a piac minden fogyasztójának egyaránt megfelelő legyen. A fogyasztók különböznek egymásban életkoruk, jövedelmük, elvárásaik és igényeik, vásárlási szokásaik alapján. Míg korábban a differenciálatlan, tömegmarketing stratégiát követve a vállalatok egyfajta terméket gyártottak minden fogyasztó számára (pl. Ford T-</w:t>
      </w:r>
      <w:proofErr w:type="spellStart"/>
      <w:r w:rsidRPr="00CB0A5E">
        <w:rPr>
          <w:rFonts w:ascii="Times New Roman" w:hAnsi="Times New Roman" w:cs="Times New Roman"/>
          <w:sz w:val="24"/>
          <w:szCs w:val="24"/>
        </w:rPr>
        <w:t>Model</w:t>
      </w:r>
      <w:proofErr w:type="spellEnd"/>
      <w:r w:rsidRPr="00CB0A5E">
        <w:rPr>
          <w:rFonts w:ascii="Times New Roman" w:hAnsi="Times New Roman" w:cs="Times New Roman"/>
          <w:sz w:val="24"/>
          <w:szCs w:val="24"/>
        </w:rPr>
        <w:t xml:space="preserve">), mára a különböző fogyasztói igények kielégítésére, a fogyasztói elégedettség és elkötelezettség kialakításához szükséges a különböző elvárásokkal rendelkező célcsoportok egyedi igényeinek a </w:t>
      </w:r>
      <w:proofErr w:type="gramStart"/>
      <w:r w:rsidRPr="00CB0A5E">
        <w:rPr>
          <w:rFonts w:ascii="Times New Roman" w:hAnsi="Times New Roman" w:cs="Times New Roman"/>
          <w:sz w:val="24"/>
          <w:szCs w:val="24"/>
        </w:rPr>
        <w:t>figyelembe vétele</w:t>
      </w:r>
      <w:proofErr w:type="gramEnd"/>
      <w:r w:rsidRPr="00CB0A5E">
        <w:rPr>
          <w:rFonts w:ascii="Times New Roman" w:hAnsi="Times New Roman" w:cs="Times New Roman"/>
          <w:sz w:val="24"/>
          <w:szCs w:val="24"/>
        </w:rPr>
        <w:t xml:space="preserve">. Még az olyan tradicionálisan differenciálatlan piacokon, mint </w:t>
      </w:r>
      <w:proofErr w:type="gramStart"/>
      <w:r w:rsidRPr="00CB0A5E">
        <w:rPr>
          <w:rFonts w:ascii="Times New Roman" w:hAnsi="Times New Roman" w:cs="Times New Roman"/>
          <w:sz w:val="24"/>
          <w:szCs w:val="24"/>
        </w:rPr>
        <w:t>a só,</w:t>
      </w:r>
      <w:proofErr w:type="gramEnd"/>
      <w:r w:rsidRPr="00CB0A5E">
        <w:rPr>
          <w:rFonts w:ascii="Times New Roman" w:hAnsi="Times New Roman" w:cs="Times New Roman"/>
          <w:sz w:val="24"/>
          <w:szCs w:val="24"/>
        </w:rPr>
        <w:t xml:space="preserve"> vagy liszt is megnövekedett a termékvariánsok száma, amelyből a fogyasztó választhat. </w:t>
      </w:r>
    </w:p>
    <w:p w14:paraId="2DA7A33C"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Azt a technikát, amely segítségével a vállalatok a diverzifikált piacot vevők homogén csoportjaira osztják szegmentálásnak nevezzük. Számtalan módja van a piac csoportokra való osztásának, a vállalatok különböző ismérveket alkalmaznak a szegmensek kialakításához. Ha valamely vállalat jó szegmentációs kritériumot talál, akkor a kiválasztott szegmensre fókuszálva jelentős versenyelőnyhöz juthat az adott piacon. A következőkben a fogyasztói piacon, a szervezeti piacon használt szegmentációs kritériumokat mutatjuk be.</w:t>
      </w:r>
    </w:p>
    <w:p w14:paraId="132E0D5D"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szegmentálás során a legegyszerűbb módszer az </w:t>
      </w:r>
      <w:r w:rsidRPr="00CB0A5E">
        <w:rPr>
          <w:rFonts w:ascii="Times New Roman" w:hAnsi="Times New Roman" w:cs="Times New Roman"/>
          <w:b/>
          <w:sz w:val="24"/>
          <w:szCs w:val="24"/>
        </w:rPr>
        <w:t xml:space="preserve">egyetlen kritérium </w:t>
      </w:r>
      <w:r w:rsidRPr="00CB0A5E">
        <w:rPr>
          <w:rFonts w:ascii="Times New Roman" w:hAnsi="Times New Roman" w:cs="Times New Roman"/>
          <w:sz w:val="24"/>
          <w:szCs w:val="24"/>
        </w:rPr>
        <w:t xml:space="preserve">(egyetlen változó) alapján történő szegmentálás. A gyakorlatban leginkább a </w:t>
      </w:r>
      <w:r w:rsidRPr="00CB0A5E">
        <w:rPr>
          <w:rFonts w:ascii="Times New Roman" w:hAnsi="Times New Roman" w:cs="Times New Roman"/>
          <w:b/>
          <w:sz w:val="24"/>
          <w:szCs w:val="24"/>
        </w:rPr>
        <w:t>több kritérium alkalmazása</w:t>
      </w:r>
      <w:r w:rsidRPr="00CB0A5E">
        <w:rPr>
          <w:rFonts w:ascii="Times New Roman" w:hAnsi="Times New Roman" w:cs="Times New Roman"/>
          <w:sz w:val="24"/>
          <w:szCs w:val="24"/>
        </w:rPr>
        <w:t xml:space="preserve"> a legelterjedtebb, amikor több változó alapján soroljuk szegmensekbe az adott piac vevőit.</w:t>
      </w:r>
    </w:p>
    <w:p w14:paraId="68C37715"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fogyasztói piacon a leggyakrabban használt szegmentációs kritériumokat négy nagyobb csoportba sorolhatjuk: geográfiai, demográfiai, </w:t>
      </w:r>
      <w:proofErr w:type="spellStart"/>
      <w:r w:rsidRPr="00CB0A5E">
        <w:rPr>
          <w:rFonts w:ascii="Times New Roman" w:hAnsi="Times New Roman" w:cs="Times New Roman"/>
          <w:sz w:val="24"/>
          <w:szCs w:val="24"/>
        </w:rPr>
        <w:t>pszichográfiai</w:t>
      </w:r>
      <w:proofErr w:type="spellEnd"/>
      <w:r w:rsidRPr="00CB0A5E">
        <w:rPr>
          <w:rFonts w:ascii="Times New Roman" w:hAnsi="Times New Roman" w:cs="Times New Roman"/>
          <w:sz w:val="24"/>
          <w:szCs w:val="24"/>
        </w:rPr>
        <w:t xml:space="preserve"> és viselkedési </w:t>
      </w:r>
      <w:proofErr w:type="spellStart"/>
      <w:r w:rsidRPr="00CB0A5E">
        <w:rPr>
          <w:rFonts w:ascii="Times New Roman" w:hAnsi="Times New Roman" w:cs="Times New Roman"/>
          <w:sz w:val="24"/>
          <w:szCs w:val="24"/>
        </w:rPr>
        <w:t>jellemezők</w:t>
      </w:r>
      <w:proofErr w:type="spellEnd"/>
      <w:r w:rsidRPr="00CB0A5E">
        <w:rPr>
          <w:rFonts w:ascii="Times New Roman" w:hAnsi="Times New Roman" w:cs="Times New Roman"/>
          <w:sz w:val="24"/>
          <w:szCs w:val="24"/>
        </w:rPr>
        <w:t xml:space="preserve">.  </w:t>
      </w:r>
    </w:p>
    <w:p w14:paraId="2DBC59B7"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Geográfiai (földrajzi) szegmentálás</w:t>
      </w:r>
      <w:r w:rsidRPr="00CB0A5E">
        <w:rPr>
          <w:rFonts w:ascii="Times New Roman" w:hAnsi="Times New Roman" w:cs="Times New Roman"/>
          <w:sz w:val="24"/>
          <w:szCs w:val="24"/>
        </w:rPr>
        <w:t xml:space="preserve"> során a piacot különböző földrajzi egységek (nemzetek, régiók, országok, településtípus, éghajlat) alapján csoportosítják. A vállalat eldöntheti, hogy egy vagy több régióban kínálja termékeit, de határozhat úgy, hogy minden régióban jelen lesz, de a régió sajátosságait figyelembe véve alakítja ki termékpalettáját. Pl. városi autó, terepjáró.</w:t>
      </w:r>
    </w:p>
    <w:p w14:paraId="2DCA8957"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demográfiai szegmentálás</w:t>
      </w:r>
      <w:r w:rsidRPr="00CB0A5E">
        <w:rPr>
          <w:rFonts w:ascii="Times New Roman" w:hAnsi="Times New Roman" w:cs="Times New Roman"/>
          <w:sz w:val="24"/>
          <w:szCs w:val="24"/>
        </w:rPr>
        <w:t xml:space="preserve"> során a fogyasztói piacot olyan változók alapján osztjuk fel kisebb csoportokba, mint az életkor, a nem, jövedelem, foglalkozás, iskolai végzettség, generáció, életciklus. A demográfiai változók szegmentációs kritériumként való alkalmazása elterjedt a gyakorlatban, mert ezek a tényezők rendszerint meghatározóak a vevők elvárásainak alakulásában. Pl. az egyedülállók és a családosok vásárlási szokásai, életkori sajátosságok termékválasztásban. Ezért a marketing szakembereknek fontos figyelni a demográfiai trendekben történő változásokra. A demográfiai szegmentálás előnye, hogy könnyű elvégezni, ugyanakkor nem minden esetben jelzi jól a fogyasztói magatartást.</w:t>
      </w:r>
    </w:p>
    <w:p w14:paraId="4E038980" w14:textId="77777777" w:rsidR="001E0AAE" w:rsidRPr="00CB0A5E" w:rsidRDefault="001E0AAE" w:rsidP="00EC10C5">
      <w:pPr>
        <w:spacing w:after="60" w:line="240" w:lineRule="auto"/>
        <w:ind w:firstLine="709"/>
        <w:jc w:val="both"/>
        <w:rPr>
          <w:rFonts w:ascii="Times New Roman" w:hAnsi="Times New Roman" w:cs="Times New Roman"/>
          <w:sz w:val="24"/>
          <w:szCs w:val="24"/>
        </w:rPr>
      </w:pPr>
      <w:proofErr w:type="spellStart"/>
      <w:r w:rsidRPr="00CB0A5E">
        <w:rPr>
          <w:rFonts w:ascii="Times New Roman" w:hAnsi="Times New Roman" w:cs="Times New Roman"/>
          <w:b/>
          <w:sz w:val="24"/>
          <w:szCs w:val="24"/>
        </w:rPr>
        <w:t>Pszichográfiai</w:t>
      </w:r>
      <w:proofErr w:type="spellEnd"/>
      <w:r w:rsidRPr="00CB0A5E">
        <w:rPr>
          <w:rFonts w:ascii="Times New Roman" w:hAnsi="Times New Roman" w:cs="Times New Roman"/>
          <w:b/>
          <w:sz w:val="24"/>
          <w:szCs w:val="24"/>
        </w:rPr>
        <w:t xml:space="preserve"> </w:t>
      </w:r>
      <w:r w:rsidRPr="00CB0A5E">
        <w:rPr>
          <w:rFonts w:ascii="Times New Roman" w:hAnsi="Times New Roman" w:cs="Times New Roman"/>
          <w:sz w:val="24"/>
          <w:szCs w:val="24"/>
        </w:rPr>
        <w:t xml:space="preserve">tényezők mentén történő </w:t>
      </w:r>
      <w:r w:rsidRPr="00CB0A5E">
        <w:rPr>
          <w:rFonts w:ascii="Times New Roman" w:hAnsi="Times New Roman" w:cs="Times New Roman"/>
          <w:b/>
          <w:sz w:val="24"/>
          <w:szCs w:val="24"/>
        </w:rPr>
        <w:t xml:space="preserve">szegmentálás </w:t>
      </w:r>
      <w:r w:rsidRPr="00CB0A5E">
        <w:rPr>
          <w:rFonts w:ascii="Times New Roman" w:hAnsi="Times New Roman" w:cs="Times New Roman"/>
          <w:sz w:val="24"/>
          <w:szCs w:val="24"/>
        </w:rPr>
        <w:t>jellemzően az életstílus, érdeklődés, véleményék, értékek és a személyiség jellemzők alapján kerül kialakításra. Alkalmazásának előnye, hogy általában jól jelzi előre a fogyasztói magatartást. Hátránya ugyanakkor, hogy nehezen mérhető, megfigyelhető, mivel ezek gyakran látens, nem közvetlenül mérhető jellemzők.</w:t>
      </w:r>
    </w:p>
    <w:p w14:paraId="78BEC47F"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lastRenderedPageBreak/>
        <w:t>Viselkedés alapú (</w:t>
      </w:r>
      <w:proofErr w:type="spellStart"/>
      <w:r w:rsidRPr="00CB0A5E">
        <w:rPr>
          <w:rFonts w:ascii="Times New Roman" w:hAnsi="Times New Roman" w:cs="Times New Roman"/>
          <w:b/>
          <w:sz w:val="24"/>
          <w:szCs w:val="24"/>
        </w:rPr>
        <w:t>behavioral</w:t>
      </w:r>
      <w:proofErr w:type="spellEnd"/>
      <w:r w:rsidRPr="00CB0A5E">
        <w:rPr>
          <w:rFonts w:ascii="Times New Roman" w:hAnsi="Times New Roman" w:cs="Times New Roman"/>
          <w:b/>
          <w:sz w:val="24"/>
          <w:szCs w:val="24"/>
        </w:rPr>
        <w:t>) szegmentálás</w:t>
      </w:r>
      <w:r w:rsidRPr="00CB0A5E">
        <w:rPr>
          <w:rFonts w:ascii="Times New Roman" w:hAnsi="Times New Roman" w:cs="Times New Roman"/>
          <w:sz w:val="24"/>
          <w:szCs w:val="24"/>
        </w:rPr>
        <w:t xml:space="preserve"> során a vevőket olyan a termékkel/termékkategóriával kapcsolatos változók alapján szegmentálják, mint a termékkel kapcsolatos tudásuk, attitűdjük, használati szokásaik és a lojalitásuk. A viselkedés alapú szegmentálás jól jelzi előre a fogyasztói magatartást, de mérése körülményes lehet. Ugyanakkor a technológiai változások új lehetőségeket nyitottak a viselkedés gyors, naprakész vizsgálatának. </w:t>
      </w:r>
    </w:p>
    <w:p w14:paraId="4985238A" w14:textId="77777777" w:rsidR="001E0AAE" w:rsidRPr="00CB0A5E" w:rsidRDefault="001E0AAE"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 xml:space="preserve">A sikeres szegmentálás kritériumai </w:t>
      </w:r>
    </w:p>
    <w:p w14:paraId="13B13216"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Ahhoz, hogy a szegmentálás sikeres legyen a piaci szegmensnek </w:t>
      </w:r>
      <w:r w:rsidRPr="00CB0A5E">
        <w:rPr>
          <w:rFonts w:ascii="Times New Roman" w:hAnsi="Times New Roman" w:cs="Times New Roman"/>
          <w:b/>
          <w:sz w:val="24"/>
          <w:szCs w:val="24"/>
        </w:rPr>
        <w:t>mérhetőnek, beazonosíthatónak, megfelelő méretűnek, megkülönböztethetőnek és elérhetőnek</w:t>
      </w:r>
      <w:r w:rsidRPr="00CB0A5E">
        <w:rPr>
          <w:rFonts w:ascii="Times New Roman" w:hAnsi="Times New Roman" w:cs="Times New Roman"/>
          <w:sz w:val="24"/>
          <w:szCs w:val="24"/>
        </w:rPr>
        <w:t xml:space="preserve"> kell lennie. A mérhetőség arra utal, hogy a szegmens mérete, vásárló ereje és profilja jól leírható változókkal mérhető legyen. A beazonosíthatóság azt jelenti, hogy egy fogyasztóról a jellemzők alapján el tudjuk dönteni, melyik szegmensbe tartozik. A szegmens méretének elég nagynak lennie ahhoz, hogy nyereségesen tudja a vállalat a termékeit értékesíteni számukra. Az elérhetőség kritérium arra világít rá, hogy a szegmenseket mennyire tudja a cég a marketingeszközökön keresztül elérni. A megkülönböztethetőség azt mutatja meg, hogy a szegmens viselkedése mennyire reagálnak eltérően a többi szegmenstől a marketing mix elemeire.   </w:t>
      </w:r>
    </w:p>
    <w:p w14:paraId="0FDB3E60" w14:textId="77777777" w:rsidR="001E0AAE" w:rsidRPr="00CB0A5E" w:rsidRDefault="001E0AAE" w:rsidP="00EC10C5">
      <w:pPr>
        <w:pStyle w:val="Stlus1"/>
      </w:pPr>
      <w:bookmarkStart w:id="21" w:name="_Toc1568851"/>
      <w:bookmarkStart w:id="22" w:name="_Toc18440811"/>
      <w:r w:rsidRPr="00CB0A5E">
        <w:t>A célpiac kiválasztása (</w:t>
      </w:r>
      <w:proofErr w:type="spellStart"/>
      <w:r w:rsidRPr="00CB0A5E">
        <w:t>Targetálás</w:t>
      </w:r>
      <w:proofErr w:type="spellEnd"/>
      <w:r w:rsidRPr="00CB0A5E">
        <w:t>)</w:t>
      </w:r>
      <w:bookmarkEnd w:id="21"/>
      <w:bookmarkEnd w:id="22"/>
    </w:p>
    <w:p w14:paraId="68F4AE2E"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piac szegmentálása megmutatja a vállalat számára azokat a potenciális csoportokat, amelyeket a vállalat termékeivel megcélozhat. A </w:t>
      </w:r>
      <w:proofErr w:type="spellStart"/>
      <w:r w:rsidRPr="00CB0A5E">
        <w:rPr>
          <w:rFonts w:ascii="Times New Roman" w:hAnsi="Times New Roman" w:cs="Times New Roman"/>
          <w:sz w:val="24"/>
          <w:szCs w:val="24"/>
        </w:rPr>
        <w:t>targetálás</w:t>
      </w:r>
      <w:proofErr w:type="spellEnd"/>
      <w:r w:rsidRPr="00CB0A5E">
        <w:rPr>
          <w:rFonts w:ascii="Times New Roman" w:hAnsi="Times New Roman" w:cs="Times New Roman"/>
          <w:sz w:val="24"/>
          <w:szCs w:val="24"/>
        </w:rPr>
        <w:t xml:space="preserve"> azt mutatja meg, hogy a vállalat milyen módon tudja értékelni és kiválasztani a megcélozni kívánt </w:t>
      </w:r>
      <w:proofErr w:type="spellStart"/>
      <w:r w:rsidRPr="00CB0A5E">
        <w:rPr>
          <w:rFonts w:ascii="Times New Roman" w:hAnsi="Times New Roman" w:cs="Times New Roman"/>
          <w:sz w:val="24"/>
          <w:szCs w:val="24"/>
        </w:rPr>
        <w:t>szegmenst</w:t>
      </w:r>
      <w:proofErr w:type="spellEnd"/>
      <w:r w:rsidRPr="00CB0A5E">
        <w:rPr>
          <w:rFonts w:ascii="Times New Roman" w:hAnsi="Times New Roman" w:cs="Times New Roman"/>
          <w:sz w:val="24"/>
          <w:szCs w:val="24"/>
        </w:rPr>
        <w:t xml:space="preserve">, szegmenseket. Az ígéretes szegmens kiválasztásakor általában két fő tényezőt vesznek figyelembe a cégek: a szegmentum piaci </w:t>
      </w:r>
      <w:proofErr w:type="spellStart"/>
      <w:r w:rsidRPr="00CB0A5E">
        <w:rPr>
          <w:rFonts w:ascii="Times New Roman" w:hAnsi="Times New Roman" w:cs="Times New Roman"/>
          <w:sz w:val="24"/>
          <w:szCs w:val="24"/>
        </w:rPr>
        <w:t>vonzereje</w:t>
      </w:r>
      <w:proofErr w:type="spellEnd"/>
      <w:r w:rsidRPr="00CB0A5E">
        <w:rPr>
          <w:rFonts w:ascii="Times New Roman" w:hAnsi="Times New Roman" w:cs="Times New Roman"/>
          <w:sz w:val="24"/>
          <w:szCs w:val="24"/>
        </w:rPr>
        <w:t xml:space="preserve"> (mérete, növekedési lehetőségei, jövedelmezősége, gazdaságossága, biztonsága) és a vállalat céljait és lehetőségeit (erőforrások, képességek és versenyelőny).</w:t>
      </w:r>
    </w:p>
    <w:p w14:paraId="0DCB1B97" w14:textId="77777777" w:rsidR="001E0AAE" w:rsidRPr="00CB0A5E" w:rsidRDefault="001E0AAE"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 xml:space="preserve">A piaci szegmentumok kiválasztásának stratégiái a következőek: </w:t>
      </w:r>
    </w:p>
    <w:p w14:paraId="43EE3384" w14:textId="77777777" w:rsidR="001E0AAE" w:rsidRPr="00CB0A5E" w:rsidRDefault="001E0AAE" w:rsidP="00EC10C5">
      <w:pPr>
        <w:pStyle w:val="Listaszerbekezds"/>
        <w:numPr>
          <w:ilvl w:val="0"/>
          <w:numId w:val="29"/>
        </w:numPr>
        <w:spacing w:after="60" w:line="240" w:lineRule="auto"/>
        <w:ind w:left="567" w:firstLine="709"/>
        <w:rPr>
          <w:rFonts w:cs="Times New Roman"/>
          <w:szCs w:val="24"/>
        </w:rPr>
      </w:pPr>
      <w:r w:rsidRPr="00CB0A5E">
        <w:rPr>
          <w:rFonts w:cs="Times New Roman"/>
          <w:szCs w:val="24"/>
        </w:rPr>
        <w:t>differenciálatlan marketing (tömegmarketing) - a teljes piac lefedése; vannak csoportok a piacon, de ezeket nem kezeli a vállalat külön egységként.</w:t>
      </w:r>
    </w:p>
    <w:p w14:paraId="243B299E" w14:textId="77777777" w:rsidR="001E0AAE" w:rsidRPr="00CB0A5E" w:rsidRDefault="001E0AAE" w:rsidP="00EC10C5">
      <w:pPr>
        <w:pStyle w:val="Listaszerbekezds"/>
        <w:numPr>
          <w:ilvl w:val="0"/>
          <w:numId w:val="29"/>
        </w:numPr>
        <w:spacing w:after="60" w:line="240" w:lineRule="auto"/>
        <w:ind w:left="567" w:firstLine="709"/>
        <w:rPr>
          <w:rFonts w:cs="Times New Roman"/>
          <w:szCs w:val="24"/>
        </w:rPr>
      </w:pPr>
      <w:r w:rsidRPr="00CB0A5E">
        <w:rPr>
          <w:rFonts w:cs="Times New Roman"/>
          <w:szCs w:val="24"/>
        </w:rPr>
        <w:t>differenciált marketing - az egyes meghatározott szegmensek esetében eltérő a marketingtevékenység is</w:t>
      </w:r>
    </w:p>
    <w:p w14:paraId="0CB86400" w14:textId="77777777" w:rsidR="001E0AAE" w:rsidRPr="00CB0A5E" w:rsidRDefault="001E0AAE" w:rsidP="00EC10C5">
      <w:pPr>
        <w:pStyle w:val="Listaszerbekezds"/>
        <w:numPr>
          <w:ilvl w:val="2"/>
          <w:numId w:val="30"/>
        </w:numPr>
        <w:spacing w:after="60" w:line="240" w:lineRule="auto"/>
        <w:rPr>
          <w:rFonts w:cs="Times New Roman"/>
          <w:szCs w:val="24"/>
        </w:rPr>
      </w:pPr>
      <w:proofErr w:type="spellStart"/>
      <w:r w:rsidRPr="00CB0A5E">
        <w:rPr>
          <w:rFonts w:cs="Times New Roman"/>
          <w:szCs w:val="24"/>
        </w:rPr>
        <w:t>nish</w:t>
      </w:r>
      <w:proofErr w:type="spellEnd"/>
      <w:r w:rsidRPr="00CB0A5E">
        <w:rPr>
          <w:rFonts w:cs="Times New Roman"/>
          <w:szCs w:val="24"/>
        </w:rPr>
        <w:t xml:space="preserve"> (rés), koncentrált marketing- csak egy </w:t>
      </w:r>
      <w:proofErr w:type="spellStart"/>
      <w:r w:rsidRPr="00CB0A5E">
        <w:rPr>
          <w:rFonts w:cs="Times New Roman"/>
          <w:szCs w:val="24"/>
        </w:rPr>
        <w:t>szegmenst</w:t>
      </w:r>
      <w:proofErr w:type="spellEnd"/>
      <w:r w:rsidRPr="00CB0A5E">
        <w:rPr>
          <w:rFonts w:cs="Times New Roman"/>
          <w:szCs w:val="24"/>
        </w:rPr>
        <w:t xml:space="preserve"> céloz meg a termékeivel.</w:t>
      </w:r>
    </w:p>
    <w:p w14:paraId="18E10010" w14:textId="77777777" w:rsidR="001E0AAE" w:rsidRPr="00CB0A5E" w:rsidRDefault="001E0AAE" w:rsidP="00EC10C5">
      <w:pPr>
        <w:pStyle w:val="Listaszerbekezds"/>
        <w:numPr>
          <w:ilvl w:val="2"/>
          <w:numId w:val="30"/>
        </w:numPr>
        <w:spacing w:after="60" w:line="240" w:lineRule="auto"/>
        <w:rPr>
          <w:rFonts w:cs="Times New Roman"/>
          <w:szCs w:val="24"/>
        </w:rPr>
      </w:pPr>
      <w:r w:rsidRPr="00CB0A5E">
        <w:rPr>
          <w:rFonts w:cs="Times New Roman"/>
          <w:szCs w:val="24"/>
        </w:rPr>
        <w:t xml:space="preserve">szelektív szakosodás - néhány </w:t>
      </w:r>
      <w:proofErr w:type="spellStart"/>
      <w:r w:rsidRPr="00CB0A5E">
        <w:rPr>
          <w:rFonts w:cs="Times New Roman"/>
          <w:szCs w:val="24"/>
        </w:rPr>
        <w:t>szegmenst</w:t>
      </w:r>
      <w:proofErr w:type="spellEnd"/>
      <w:r w:rsidRPr="00CB0A5E">
        <w:rPr>
          <w:rFonts w:cs="Times New Roman"/>
          <w:szCs w:val="24"/>
        </w:rPr>
        <w:t xml:space="preserve"> kiválasztva, azokat külön-külön kezelve marketingtevékenységet folytat</w:t>
      </w:r>
    </w:p>
    <w:p w14:paraId="0ACC11CD" w14:textId="77777777" w:rsidR="001E0AAE" w:rsidRPr="00CB0A5E" w:rsidRDefault="001E0AAE" w:rsidP="00EC10C5">
      <w:pPr>
        <w:pStyle w:val="Listaszerbekezds"/>
        <w:numPr>
          <w:ilvl w:val="2"/>
          <w:numId w:val="30"/>
        </w:numPr>
        <w:spacing w:after="60" w:line="240" w:lineRule="auto"/>
        <w:rPr>
          <w:rFonts w:cs="Times New Roman"/>
          <w:szCs w:val="24"/>
        </w:rPr>
      </w:pPr>
      <w:r w:rsidRPr="00CB0A5E">
        <w:rPr>
          <w:rFonts w:cs="Times New Roman"/>
          <w:szCs w:val="24"/>
        </w:rPr>
        <w:t>termékszakosodás – egy terméket kínál több piacon</w:t>
      </w:r>
    </w:p>
    <w:p w14:paraId="51D38A7D" w14:textId="77777777" w:rsidR="001E0AAE" w:rsidRPr="00CB0A5E" w:rsidRDefault="001E0AAE" w:rsidP="00EC10C5">
      <w:pPr>
        <w:pStyle w:val="Listaszerbekezds"/>
        <w:numPr>
          <w:ilvl w:val="2"/>
          <w:numId w:val="30"/>
        </w:numPr>
        <w:spacing w:after="60" w:line="240" w:lineRule="auto"/>
        <w:rPr>
          <w:rFonts w:cs="Times New Roman"/>
          <w:szCs w:val="24"/>
        </w:rPr>
      </w:pPr>
      <w:r w:rsidRPr="00CB0A5E">
        <w:rPr>
          <w:rFonts w:cs="Times New Roman"/>
          <w:szCs w:val="24"/>
        </w:rPr>
        <w:t>piacszakosodás – egy piacon több terméket kínál</w:t>
      </w:r>
    </w:p>
    <w:p w14:paraId="3B74ACE9" w14:textId="77777777" w:rsidR="009D6142" w:rsidRPr="00CB0A5E" w:rsidRDefault="009D6142" w:rsidP="00EC10C5">
      <w:pPr>
        <w:pStyle w:val="Listaszerbekezds"/>
        <w:spacing w:after="60" w:line="240" w:lineRule="auto"/>
        <w:ind w:left="1440" w:firstLine="709"/>
        <w:rPr>
          <w:rFonts w:cs="Times New Roman"/>
          <w:szCs w:val="24"/>
        </w:rPr>
      </w:pPr>
    </w:p>
    <w:p w14:paraId="061A35C6" w14:textId="77777777" w:rsidR="001E0AAE" w:rsidRPr="00CB0A5E" w:rsidRDefault="001E0AAE" w:rsidP="00EC10C5">
      <w:pPr>
        <w:pStyle w:val="Stlus1"/>
      </w:pPr>
      <w:bookmarkStart w:id="23" w:name="_Toc1568852"/>
      <w:bookmarkStart w:id="24" w:name="_Toc18440812"/>
      <w:r w:rsidRPr="00CB0A5E">
        <w:t>Pozicionálás</w:t>
      </w:r>
      <w:bookmarkEnd w:id="23"/>
      <w:bookmarkEnd w:id="24"/>
      <w:r w:rsidRPr="00CB0A5E">
        <w:t xml:space="preserve"> </w:t>
      </w:r>
    </w:p>
    <w:p w14:paraId="368D9937"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 A piac szegmentálása, a célpiac kiválasztása után a hatékony marketing stratégia kidolgozásának következő lépése a termék vagy szolgáltatás kínálat pozicionálása a kiválasztott piacon. A pozicionálás során arról kell döntenie a vállalatnak, hogy milyen pozíciót foglaljon el a szegmensben, hogyan versenyezzen a többi vállalattal az adott piacon, milyen versenyelőnyt jelentő egyedi jellemzőket hozzon létre a célpiac számára, amely megkülönbözteti a versenytársaktól. A differenciálás során a vállalat azonosítja azokat a terméktulajdonságokat, amelyek a versenytársakhoz viszonyítva versenyelőnyt jelentenek a vevői érték teremtésében.  </w:t>
      </w:r>
    </w:p>
    <w:p w14:paraId="713B93DE"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vállalatok a differenciálás és pozicionálás során gyakran </w:t>
      </w:r>
      <w:proofErr w:type="spellStart"/>
      <w:r w:rsidRPr="00CB0A5E">
        <w:rPr>
          <w:rFonts w:ascii="Times New Roman" w:hAnsi="Times New Roman" w:cs="Times New Roman"/>
          <w:sz w:val="24"/>
          <w:szCs w:val="24"/>
        </w:rPr>
        <w:t>ún</w:t>
      </w:r>
      <w:proofErr w:type="spellEnd"/>
      <w:r w:rsidRPr="00CB0A5E">
        <w:rPr>
          <w:rFonts w:ascii="Times New Roman" w:hAnsi="Times New Roman" w:cs="Times New Roman"/>
          <w:sz w:val="24"/>
          <w:szCs w:val="24"/>
        </w:rPr>
        <w:t xml:space="preserve"> észlelési (percepciós) térképeket készítenek, amelyek a vevők észlelései alapján a márka és a versenytársak </w:t>
      </w:r>
      <w:r w:rsidRPr="00CB0A5E">
        <w:rPr>
          <w:rFonts w:ascii="Times New Roman" w:hAnsi="Times New Roman" w:cs="Times New Roman"/>
          <w:sz w:val="24"/>
          <w:szCs w:val="24"/>
        </w:rPr>
        <w:lastRenderedPageBreak/>
        <w:t xml:space="preserve">márkáinak helyzetét mutatja be fontos vásárlást befolyásoló tényezők vonatkozásában. Az észlelési térkép alapján a vállalat fel tudja tárni, hogy a fogyasztók milyen márkákat látnak hasonlónak, milyen a helyzete a vállalat márkájának a versenytársakhoz viszonyítva. Ez után a vállalat meg tudja határozni, hogy milyen pozicionálási, differenciálási stratégiát alkalmazzon. </w:t>
      </w:r>
    </w:p>
    <w:p w14:paraId="15A49108"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Termék differenciálás esetén a terméktulajdonságokban stílusban vagy dizájnban való megkülönböztetésre törekszenek. A szolgáltatás differenciálás jelenthet például gyorsabb kiszolgálást, kényelmi szolgáltatások bevezetését. A disztribúció csatornák differenciálása során új, kényelmesebb csatornákon keresztül férhet hozzá a vevő a termékhez. Az imázs differenciálás a vállalat vagy a márka imázsa jelenti a megkülönböztetés alapját.</w:t>
      </w:r>
    </w:p>
    <w:p w14:paraId="655C8A3D" w14:textId="77777777" w:rsidR="001E0AAE" w:rsidRPr="00CB0A5E" w:rsidRDefault="001E0AAE"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Összefoglalva az SZTP (Szegmentálás, </w:t>
      </w:r>
      <w:proofErr w:type="spellStart"/>
      <w:r w:rsidRPr="00CB0A5E">
        <w:rPr>
          <w:rFonts w:ascii="Times New Roman" w:hAnsi="Times New Roman" w:cs="Times New Roman"/>
          <w:sz w:val="24"/>
          <w:szCs w:val="24"/>
        </w:rPr>
        <w:t>targetálás</w:t>
      </w:r>
      <w:proofErr w:type="spellEnd"/>
      <w:r w:rsidRPr="00CB0A5E">
        <w:rPr>
          <w:rFonts w:ascii="Times New Roman" w:hAnsi="Times New Roman" w:cs="Times New Roman"/>
          <w:sz w:val="24"/>
          <w:szCs w:val="24"/>
        </w:rPr>
        <w:t>, pozicionálás) előnye, hogy a vállalat által kínált termék jobban igazodik a fogyasztói igényekhez. A hatékony szegmentálás során a vállalat az adott szegmens speciális igényeihez tudja igazítani a marketing mix elemeit, a termékfejlesztést az árak meghatározását, a disztribúciós csatornák kialakítását, a kommunikációs stratégiát. A fogyasztók szintén elégedettebbek, hiszen az igényeikhez jobban illeszkedő terméket sikerül vásárolniuk. Ez növeli a lojalitást, a vállalat iránti elkötelezettséget. Összességében az SZTP hatására jobb, személyre szabottabb termékek és szolgáltatások jelennek meg a piacon.</w:t>
      </w:r>
    </w:p>
    <w:p w14:paraId="2A30380E" w14:textId="77777777" w:rsidR="00C46DB0" w:rsidRPr="00CB0A5E" w:rsidRDefault="00C46DB0" w:rsidP="00EC10C5">
      <w:pPr>
        <w:spacing w:after="60" w:line="240" w:lineRule="auto"/>
        <w:ind w:firstLine="709"/>
        <w:jc w:val="both"/>
        <w:rPr>
          <w:rFonts w:ascii="Times New Roman" w:hAnsi="Times New Roman" w:cs="Times New Roman"/>
          <w:sz w:val="24"/>
          <w:szCs w:val="24"/>
        </w:rPr>
      </w:pPr>
    </w:p>
    <w:p w14:paraId="16E32829" w14:textId="77777777" w:rsidR="00C46DB0" w:rsidRPr="00CB0A5E" w:rsidRDefault="00C46DB0" w:rsidP="00EC10C5">
      <w:pPr>
        <w:pStyle w:val="Cmsor1"/>
        <w:numPr>
          <w:ilvl w:val="0"/>
          <w:numId w:val="8"/>
        </w:numPr>
        <w:spacing w:after="60" w:line="240" w:lineRule="auto"/>
        <w:ind w:left="0" w:firstLine="709"/>
        <w:jc w:val="both"/>
        <w:rPr>
          <w:rFonts w:ascii="Times New Roman" w:hAnsi="Times New Roman" w:cs="Times New Roman"/>
          <w:b/>
          <w:sz w:val="24"/>
          <w:szCs w:val="24"/>
        </w:rPr>
      </w:pPr>
      <w:bookmarkStart w:id="25" w:name="_Toc18440813"/>
      <w:r w:rsidRPr="00CB0A5E">
        <w:rPr>
          <w:rFonts w:ascii="Times New Roman" w:hAnsi="Times New Roman" w:cs="Times New Roman"/>
          <w:b/>
          <w:sz w:val="24"/>
          <w:szCs w:val="24"/>
        </w:rPr>
        <w:t>Marketing környezet és marketingkutatás</w:t>
      </w:r>
      <w:bookmarkEnd w:id="25"/>
    </w:p>
    <w:p w14:paraId="238873C7" w14:textId="77777777" w:rsidR="00C46DB0" w:rsidRPr="00EC23E2" w:rsidRDefault="00C46DB0" w:rsidP="00EC10C5">
      <w:pPr>
        <w:pStyle w:val="Cmsor2"/>
        <w:numPr>
          <w:ilvl w:val="1"/>
          <w:numId w:val="8"/>
        </w:numPr>
        <w:spacing w:after="60" w:line="240" w:lineRule="auto"/>
        <w:ind w:left="0" w:firstLine="709"/>
        <w:jc w:val="both"/>
        <w:rPr>
          <w:rFonts w:ascii="Times New Roman" w:hAnsi="Times New Roman" w:cs="Times New Roman"/>
          <w:b/>
          <w:sz w:val="24"/>
          <w:szCs w:val="24"/>
        </w:rPr>
      </w:pPr>
      <w:bookmarkStart w:id="26" w:name="_Toc18440814"/>
      <w:r w:rsidRPr="00EC23E2">
        <w:rPr>
          <w:rFonts w:ascii="Times New Roman" w:hAnsi="Times New Roman" w:cs="Times New Roman"/>
          <w:b/>
          <w:sz w:val="24"/>
          <w:szCs w:val="24"/>
        </w:rPr>
        <w:t>A vállalat környezetének elemzése</w:t>
      </w:r>
      <w:bookmarkEnd w:id="26"/>
    </w:p>
    <w:p w14:paraId="44CE6CB0"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marketing környezet </w:t>
      </w:r>
      <w:r w:rsidRPr="00CB0A5E">
        <w:rPr>
          <w:rFonts w:ascii="Times New Roman" w:hAnsi="Times New Roman" w:cs="Times New Roman"/>
          <w:sz w:val="24"/>
          <w:szCs w:val="24"/>
        </w:rPr>
        <w:t>magában foglalja azokat a külső tényezőket és erőket, amelyek befolyásolják a vállalat képességét a sikeres tranzakciókban, a megcélzott fogyasztókkal való kapcsolat fejlesztésében és megőrzésében.</w:t>
      </w:r>
    </w:p>
    <w:p w14:paraId="3E2C7C25" w14:textId="77777777" w:rsidR="00C46DB0" w:rsidRPr="00CB0A5E" w:rsidRDefault="00C46DB0" w:rsidP="00EC10C5">
      <w:pPr>
        <w:numPr>
          <w:ilvl w:val="0"/>
          <w:numId w:val="14"/>
        </w:numPr>
        <w:tabs>
          <w:tab w:val="clear" w:pos="360"/>
          <w:tab w:val="num" w:pos="567"/>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Mikrokörnyezet -</w:t>
      </w:r>
      <w:r w:rsidRPr="00CB0A5E">
        <w:rPr>
          <w:rFonts w:ascii="Times New Roman" w:hAnsi="Times New Roman" w:cs="Times New Roman"/>
          <w:sz w:val="24"/>
          <w:szCs w:val="24"/>
        </w:rPr>
        <w:t xml:space="preserve"> a vállalat </w:t>
      </w:r>
      <w:r w:rsidRPr="00CB0A5E">
        <w:rPr>
          <w:rFonts w:ascii="Times New Roman" w:hAnsi="Times New Roman" w:cs="Times New Roman"/>
          <w:b/>
          <w:bCs/>
          <w:sz w:val="24"/>
          <w:szCs w:val="24"/>
        </w:rPr>
        <w:t>közvetlen környezete</w:t>
      </w:r>
      <w:r w:rsidRPr="00CB0A5E">
        <w:rPr>
          <w:rFonts w:ascii="Times New Roman" w:hAnsi="Times New Roman" w:cs="Times New Roman"/>
          <w:sz w:val="24"/>
          <w:szCs w:val="24"/>
        </w:rPr>
        <w:t xml:space="preserve">, amely meghatározza a vállalat piaci jelenlétét, </w:t>
      </w:r>
      <w:r w:rsidRPr="00CB0A5E">
        <w:rPr>
          <w:rFonts w:ascii="Times New Roman" w:hAnsi="Times New Roman" w:cs="Times New Roman"/>
          <w:b/>
          <w:bCs/>
          <w:sz w:val="24"/>
          <w:szCs w:val="24"/>
        </w:rPr>
        <w:t xml:space="preserve">direkt hatással van annak működésére, </w:t>
      </w:r>
      <w:r w:rsidRPr="00CB0A5E">
        <w:rPr>
          <w:rFonts w:ascii="Times New Roman" w:hAnsi="Times New Roman" w:cs="Times New Roman"/>
          <w:sz w:val="24"/>
          <w:szCs w:val="24"/>
        </w:rPr>
        <w:t xml:space="preserve">de </w:t>
      </w:r>
      <w:r w:rsidRPr="00CB0A5E">
        <w:rPr>
          <w:rFonts w:ascii="Times New Roman" w:hAnsi="Times New Roman" w:cs="Times New Roman"/>
          <w:b/>
          <w:bCs/>
          <w:sz w:val="24"/>
          <w:szCs w:val="24"/>
        </w:rPr>
        <w:t>a szervezet is befolyásolja a mikrokörnyezet alakulását</w:t>
      </w:r>
      <w:r w:rsidRPr="00CB0A5E">
        <w:rPr>
          <w:rFonts w:ascii="Times New Roman" w:hAnsi="Times New Roman" w:cs="Times New Roman"/>
          <w:sz w:val="24"/>
          <w:szCs w:val="24"/>
        </w:rPr>
        <w:t>.</w:t>
      </w:r>
    </w:p>
    <w:p w14:paraId="4BA379F9" w14:textId="77777777" w:rsidR="00C46DB0" w:rsidRPr="00CB0A5E" w:rsidRDefault="00C46DB0" w:rsidP="00EC10C5">
      <w:pPr>
        <w:numPr>
          <w:ilvl w:val="0"/>
          <w:numId w:val="14"/>
        </w:numPr>
        <w:tabs>
          <w:tab w:val="clear" w:pos="360"/>
          <w:tab w:val="num" w:pos="567"/>
        </w:tabs>
        <w:spacing w:after="60" w:line="240" w:lineRule="auto"/>
        <w:ind w:left="567" w:firstLine="709"/>
        <w:jc w:val="both"/>
        <w:rPr>
          <w:rFonts w:ascii="Times New Roman" w:hAnsi="Times New Roman" w:cs="Times New Roman"/>
          <w:sz w:val="24"/>
          <w:szCs w:val="24"/>
        </w:rPr>
      </w:pPr>
      <w:proofErr w:type="spellStart"/>
      <w:r w:rsidRPr="00CB0A5E">
        <w:rPr>
          <w:rFonts w:ascii="Times New Roman" w:hAnsi="Times New Roman" w:cs="Times New Roman"/>
          <w:b/>
          <w:bCs/>
          <w:sz w:val="24"/>
          <w:szCs w:val="24"/>
        </w:rPr>
        <w:t>Makrokörnyezet</w:t>
      </w:r>
      <w:proofErr w:type="spellEnd"/>
      <w:r w:rsidRPr="00CB0A5E">
        <w:rPr>
          <w:rFonts w:ascii="Times New Roman" w:hAnsi="Times New Roman" w:cs="Times New Roman"/>
          <w:b/>
          <w:bCs/>
          <w:sz w:val="24"/>
          <w:szCs w:val="24"/>
        </w:rPr>
        <w:t xml:space="preserve"> - </w:t>
      </w:r>
      <w:r w:rsidRPr="00CB0A5E">
        <w:rPr>
          <w:rFonts w:ascii="Times New Roman" w:hAnsi="Times New Roman" w:cs="Times New Roman"/>
          <w:sz w:val="24"/>
          <w:szCs w:val="24"/>
        </w:rPr>
        <w:t xml:space="preserve">a szervezet működésére </w:t>
      </w:r>
      <w:r w:rsidRPr="00CB0A5E">
        <w:rPr>
          <w:rFonts w:ascii="Times New Roman" w:hAnsi="Times New Roman" w:cs="Times New Roman"/>
          <w:b/>
          <w:bCs/>
          <w:sz w:val="24"/>
          <w:szCs w:val="24"/>
        </w:rPr>
        <w:t xml:space="preserve">tágabb értelemben hatnak, </w:t>
      </w:r>
      <w:r w:rsidRPr="00CB0A5E">
        <w:rPr>
          <w:rFonts w:ascii="Times New Roman" w:hAnsi="Times New Roman" w:cs="Times New Roman"/>
          <w:sz w:val="24"/>
          <w:szCs w:val="24"/>
        </w:rPr>
        <w:t xml:space="preserve">azok alakítására a vállalatoknak, vállalkozásoknak </w:t>
      </w:r>
      <w:r w:rsidRPr="00CB0A5E">
        <w:rPr>
          <w:rFonts w:ascii="Times New Roman" w:hAnsi="Times New Roman" w:cs="Times New Roman"/>
          <w:b/>
          <w:bCs/>
          <w:sz w:val="24"/>
          <w:szCs w:val="24"/>
        </w:rPr>
        <w:t>csak korlátozott a lehetőségük.</w:t>
      </w:r>
    </w:p>
    <w:p w14:paraId="598B19D3" w14:textId="77777777" w:rsidR="00C46DB0" w:rsidRPr="00CB0A5E" w:rsidRDefault="00C46DB0" w:rsidP="00EC10C5">
      <w:pPr>
        <w:pStyle w:val="Stlus1"/>
      </w:pPr>
      <w:bookmarkStart w:id="27" w:name="_Toc1568854"/>
      <w:bookmarkStart w:id="28" w:name="_Toc18440815"/>
      <w:r w:rsidRPr="00CB0A5E">
        <w:t>Mikrokörnyezet</w:t>
      </w:r>
      <w:bookmarkEnd w:id="27"/>
      <w:bookmarkEnd w:id="28"/>
    </w:p>
    <w:p w14:paraId="486AA1B9"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Cs/>
          <w:sz w:val="24"/>
          <w:szCs w:val="24"/>
        </w:rPr>
        <w:t>A mikrokörnyezet a vállalat közvetlen környezete, amely befolyással van a vállalat működésére. Részei:</w:t>
      </w:r>
    </w:p>
    <w:p w14:paraId="3DCB0987" w14:textId="77777777" w:rsidR="00C46DB0" w:rsidRPr="00FA479D" w:rsidRDefault="00C46DB0" w:rsidP="00EC10C5">
      <w:pPr>
        <w:pStyle w:val="Listaszerbekezds"/>
        <w:numPr>
          <w:ilvl w:val="0"/>
          <w:numId w:val="15"/>
        </w:numPr>
        <w:tabs>
          <w:tab w:val="num" w:pos="1080"/>
        </w:tabs>
        <w:spacing w:after="60" w:line="240" w:lineRule="auto"/>
        <w:ind w:left="567" w:firstLine="709"/>
        <w:rPr>
          <w:rFonts w:cs="Times New Roman"/>
          <w:szCs w:val="24"/>
        </w:rPr>
      </w:pPr>
      <w:r w:rsidRPr="00FA479D">
        <w:rPr>
          <w:rFonts w:cs="Times New Roman"/>
          <w:b/>
          <w:szCs w:val="24"/>
        </w:rPr>
        <w:t>a vállalat</w:t>
      </w:r>
      <w:r w:rsidRPr="00FA479D">
        <w:rPr>
          <w:rFonts w:cs="Times New Roman"/>
          <w:szCs w:val="24"/>
        </w:rPr>
        <w:t xml:space="preserve"> - A marketing terv készítésekor a marketing menedzsment a vállalat különböző szervezeti egységeivel dolgozik együtt (például a felsővezetés, a pénzügy, a K+F részleg, a beszerzés, a gyártás, az értékesítés)</w:t>
      </w:r>
    </w:p>
    <w:p w14:paraId="31395949" w14:textId="77777777" w:rsidR="00C46DB0" w:rsidRPr="00FA479D" w:rsidRDefault="00C46DB0" w:rsidP="00EC10C5">
      <w:pPr>
        <w:pStyle w:val="Listaszerbekezds"/>
        <w:numPr>
          <w:ilvl w:val="0"/>
          <w:numId w:val="15"/>
        </w:numPr>
        <w:tabs>
          <w:tab w:val="num" w:pos="1080"/>
        </w:tabs>
        <w:spacing w:after="60" w:line="240" w:lineRule="auto"/>
        <w:ind w:left="567" w:firstLine="709"/>
        <w:rPr>
          <w:rFonts w:cs="Times New Roman"/>
          <w:szCs w:val="24"/>
        </w:rPr>
      </w:pPr>
      <w:r w:rsidRPr="00FA479D">
        <w:rPr>
          <w:rFonts w:cs="Times New Roman"/>
          <w:b/>
          <w:szCs w:val="24"/>
        </w:rPr>
        <w:t>a beszállítók</w:t>
      </w:r>
      <w:r w:rsidRPr="00FA479D">
        <w:rPr>
          <w:rFonts w:cs="Times New Roman"/>
          <w:szCs w:val="24"/>
        </w:rPr>
        <w:t xml:space="preserve"> - olyan vállalatok és egyének, amelyek a céget és versenytársait a </w:t>
      </w:r>
      <w:r w:rsidRPr="00FA479D">
        <w:rPr>
          <w:rFonts w:cs="Times New Roman"/>
          <w:bCs/>
          <w:szCs w:val="24"/>
        </w:rPr>
        <w:t>működésükhöz szükséges anyagokkal és szolgáltatásokkal ellátják.</w:t>
      </w:r>
      <w:r w:rsidRPr="00FA479D">
        <w:rPr>
          <w:rFonts w:cs="Times New Roman"/>
          <w:b/>
          <w:bCs/>
          <w:szCs w:val="24"/>
        </w:rPr>
        <w:t xml:space="preserve"> </w:t>
      </w:r>
      <w:r w:rsidRPr="00FA479D">
        <w:rPr>
          <w:rFonts w:cs="Times New Roman"/>
          <w:bCs/>
          <w:szCs w:val="24"/>
        </w:rPr>
        <w:t xml:space="preserve">A beszállítók teljesítménye, az együttműködés jellege jelentős befolyással lehet a vállalat teljesítményére, ezért fontos a beszállítók partnerként való kezelése. </w:t>
      </w:r>
    </w:p>
    <w:p w14:paraId="002305D0" w14:textId="77777777" w:rsidR="00C46DB0" w:rsidRPr="00FA479D" w:rsidRDefault="00C46DB0" w:rsidP="00EC10C5">
      <w:pPr>
        <w:pStyle w:val="Listaszerbekezds"/>
        <w:numPr>
          <w:ilvl w:val="0"/>
          <w:numId w:val="15"/>
        </w:numPr>
        <w:spacing w:after="60" w:line="240" w:lineRule="auto"/>
        <w:ind w:left="567" w:firstLine="709"/>
        <w:rPr>
          <w:rFonts w:cs="Times New Roman"/>
          <w:szCs w:val="24"/>
        </w:rPr>
      </w:pPr>
      <w:r w:rsidRPr="00FA479D">
        <w:rPr>
          <w:rFonts w:cs="Times New Roman"/>
          <w:b/>
          <w:szCs w:val="24"/>
        </w:rPr>
        <w:t>a marketing közvetítők</w:t>
      </w:r>
      <w:r w:rsidRPr="00FA479D">
        <w:rPr>
          <w:rFonts w:cs="Times New Roman"/>
          <w:szCs w:val="24"/>
        </w:rPr>
        <w:t xml:space="preserve"> -</w:t>
      </w:r>
      <w:r w:rsidRPr="00FA479D">
        <w:rPr>
          <w:rFonts w:cs="Times New Roman"/>
          <w:szCs w:val="24"/>
          <w:lang w:eastAsia="hu-HU"/>
          <w14:textFill>
            <w14:solidFill>
              <w14:schemeClr w14:val="tx1">
                <w14:satOff w14:val="0"/>
                <w14:lumOff w14:val="0"/>
              </w14:schemeClr>
            </w14:solidFill>
          </w14:textFill>
        </w:rPr>
        <w:t xml:space="preserve"> </w:t>
      </w:r>
      <w:r w:rsidRPr="00FA479D">
        <w:rPr>
          <w:rFonts w:cs="Times New Roman"/>
          <w:szCs w:val="24"/>
        </w:rPr>
        <w:t>A marketing közvetítők segítik a vállalatot a vásárlókhoz való eljutásban, termékeik eladásában, terítésében. Ide tartoznak a viszonteladók, szállítmányozási cégek, marketing szolgáltató ügynökségek, pénzügyi közvetítők</w:t>
      </w:r>
    </w:p>
    <w:p w14:paraId="5AA2AA31" w14:textId="77777777" w:rsidR="00C46DB0" w:rsidRPr="00FA479D" w:rsidRDefault="00C46DB0" w:rsidP="00EC10C5">
      <w:pPr>
        <w:pStyle w:val="Listaszerbekezds"/>
        <w:numPr>
          <w:ilvl w:val="0"/>
          <w:numId w:val="15"/>
        </w:numPr>
        <w:spacing w:after="60" w:line="240" w:lineRule="auto"/>
        <w:ind w:left="567" w:firstLine="709"/>
        <w:rPr>
          <w:rFonts w:cs="Times New Roman"/>
          <w:szCs w:val="24"/>
        </w:rPr>
      </w:pPr>
      <w:r w:rsidRPr="00FA479D">
        <w:rPr>
          <w:rFonts w:cs="Times New Roman"/>
          <w:b/>
          <w:szCs w:val="24"/>
        </w:rPr>
        <w:t>a vevők</w:t>
      </w:r>
      <w:r w:rsidRPr="00FA479D">
        <w:rPr>
          <w:rFonts w:cs="Times New Roman"/>
          <w:szCs w:val="24"/>
        </w:rPr>
        <w:t xml:space="preserve"> – A vevők kiemelkedően </w:t>
      </w:r>
      <w:proofErr w:type="spellStart"/>
      <w:r w:rsidRPr="00FA479D">
        <w:rPr>
          <w:rFonts w:cs="Times New Roman"/>
          <w:szCs w:val="24"/>
        </w:rPr>
        <w:t>fontosak</w:t>
      </w:r>
      <w:proofErr w:type="spellEnd"/>
      <w:r w:rsidRPr="00FA479D">
        <w:rPr>
          <w:rFonts w:cs="Times New Roman"/>
          <w:szCs w:val="24"/>
        </w:rPr>
        <w:t xml:space="preserve"> a vállalat számára. különböző vevő csoportokat különböztetünk meg, legfontosabbak a fogyasztói piac, a szervezeti piac, </w:t>
      </w:r>
      <w:proofErr w:type="gramStart"/>
      <w:r w:rsidRPr="00FA479D">
        <w:rPr>
          <w:rFonts w:cs="Times New Roman"/>
          <w:szCs w:val="24"/>
        </w:rPr>
        <w:t>a kormányzati piac,</w:t>
      </w:r>
      <w:proofErr w:type="gramEnd"/>
      <w:r w:rsidRPr="00FA479D">
        <w:rPr>
          <w:rFonts w:cs="Times New Roman"/>
          <w:szCs w:val="24"/>
        </w:rPr>
        <w:t xml:space="preserve"> és a nemzetközi piac. A fogyasztói és szervezeti piaccal külön fejezetekben foglalkozunk. </w:t>
      </w:r>
    </w:p>
    <w:p w14:paraId="2D680B65" w14:textId="77777777" w:rsidR="00C46DB0" w:rsidRPr="00FA479D" w:rsidRDefault="00C46DB0" w:rsidP="00EC10C5">
      <w:pPr>
        <w:pStyle w:val="Listaszerbekezds"/>
        <w:numPr>
          <w:ilvl w:val="0"/>
          <w:numId w:val="15"/>
        </w:numPr>
        <w:spacing w:after="60" w:line="240" w:lineRule="auto"/>
        <w:ind w:left="567" w:firstLine="709"/>
        <w:rPr>
          <w:rFonts w:cs="Times New Roman"/>
          <w:szCs w:val="24"/>
        </w:rPr>
      </w:pPr>
      <w:r w:rsidRPr="00FA479D">
        <w:rPr>
          <w:rFonts w:cs="Times New Roman"/>
          <w:b/>
          <w:szCs w:val="24"/>
        </w:rPr>
        <w:lastRenderedPageBreak/>
        <w:t>a versenytársak</w:t>
      </w:r>
      <w:r w:rsidRPr="00FA479D">
        <w:rPr>
          <w:rFonts w:cs="Times New Roman"/>
          <w:szCs w:val="24"/>
        </w:rPr>
        <w:t xml:space="preserve"> –</w:t>
      </w:r>
      <w:r w:rsidRPr="00FA479D">
        <w:rPr>
          <w:rFonts w:cs="Times New Roman"/>
          <w:b/>
          <w:bCs/>
          <w:color w:val="000000"/>
          <w:kern w:val="24"/>
          <w:szCs w:val="24"/>
          <w:lang w:eastAsia="hu-HU"/>
        </w:rPr>
        <w:t xml:space="preserve"> </w:t>
      </w:r>
      <w:r w:rsidRPr="00FA479D">
        <w:rPr>
          <w:rFonts w:cs="Times New Roman"/>
          <w:bCs/>
          <w:color w:val="000000"/>
          <w:kern w:val="24"/>
          <w:szCs w:val="24"/>
          <w:lang w:eastAsia="hu-HU"/>
        </w:rPr>
        <w:t>Ha a vállalat sikeres akar lenni a célpiacon, akkor magasabb vevőértéket és elégedettséget kell elérniük a versenytársaknál.</w:t>
      </w:r>
      <w:r w:rsidRPr="00FA479D">
        <w:rPr>
          <w:rFonts w:cs="Times New Roman"/>
          <w:b/>
          <w:bCs/>
          <w:color w:val="000000"/>
          <w:kern w:val="24"/>
          <w:szCs w:val="24"/>
          <w:lang w:eastAsia="hu-HU"/>
        </w:rPr>
        <w:t xml:space="preserve"> </w:t>
      </w:r>
      <w:r w:rsidRPr="00FA479D">
        <w:rPr>
          <w:rFonts w:cs="Times New Roman"/>
          <w:bCs/>
          <w:color w:val="000000"/>
          <w:kern w:val="24"/>
          <w:szCs w:val="24"/>
          <w:lang w:eastAsia="hu-HU"/>
        </w:rPr>
        <w:t xml:space="preserve">Azt, hogy kit tekintünk versenytársnak, sokféleképpen meghatározhatjuk. </w:t>
      </w:r>
      <w:proofErr w:type="spellStart"/>
      <w:r w:rsidRPr="00FA479D">
        <w:rPr>
          <w:rFonts w:cs="Times New Roman"/>
          <w:szCs w:val="24"/>
        </w:rPr>
        <w:t>Kotler</w:t>
      </w:r>
      <w:proofErr w:type="spellEnd"/>
      <w:r w:rsidRPr="00FA479D">
        <w:rPr>
          <w:rFonts w:cs="Times New Roman"/>
          <w:szCs w:val="24"/>
        </w:rPr>
        <w:t xml:space="preserve"> (1991) </w:t>
      </w:r>
      <w:proofErr w:type="gramStart"/>
      <w:r w:rsidRPr="00FA479D">
        <w:rPr>
          <w:rFonts w:cs="Times New Roman"/>
          <w:szCs w:val="24"/>
        </w:rPr>
        <w:t>szerint  a</w:t>
      </w:r>
      <w:proofErr w:type="gramEnd"/>
      <w:r w:rsidRPr="00FA479D">
        <w:rPr>
          <w:rFonts w:cs="Times New Roman"/>
          <w:szCs w:val="24"/>
        </w:rPr>
        <w:t xml:space="preserve"> versenytárs egy másik cég, amely ugyanazt a szükségletet elégíti ki. Szűkebb értelemben azok a versenytársak, akik </w:t>
      </w:r>
      <w:r w:rsidRPr="00FA479D">
        <w:rPr>
          <w:rFonts w:cs="Times New Roman"/>
          <w:bCs/>
          <w:szCs w:val="24"/>
        </w:rPr>
        <w:t xml:space="preserve">ugyanazt vagy hasonló terméket /szolgáltatást kínálnak, mint mi. </w:t>
      </w:r>
      <w:r w:rsidRPr="00FA479D">
        <w:rPr>
          <w:rFonts w:cs="Times New Roman"/>
          <w:szCs w:val="24"/>
        </w:rPr>
        <w:t xml:space="preserve">Tágabb értelemben azonban </w:t>
      </w:r>
      <w:r w:rsidRPr="00FA479D">
        <w:rPr>
          <w:rFonts w:cs="Times New Roman"/>
          <w:bCs/>
          <w:szCs w:val="24"/>
        </w:rPr>
        <w:t>mindenki versenytárs, aki a vevő pénztárcájáért küzd.</w:t>
      </w:r>
    </w:p>
    <w:p w14:paraId="0B89F1A5" w14:textId="77777777" w:rsidR="00C46DB0" w:rsidRPr="00FA479D" w:rsidRDefault="00C46DB0" w:rsidP="00EC10C5">
      <w:pPr>
        <w:pStyle w:val="Listaszerbekezds"/>
        <w:numPr>
          <w:ilvl w:val="0"/>
          <w:numId w:val="15"/>
        </w:numPr>
        <w:spacing w:after="60" w:line="240" w:lineRule="auto"/>
        <w:ind w:left="567" w:firstLine="709"/>
        <w:rPr>
          <w:rFonts w:cs="Times New Roman"/>
          <w:szCs w:val="24"/>
        </w:rPr>
      </w:pPr>
      <w:r w:rsidRPr="00FA479D">
        <w:rPr>
          <w:rFonts w:cs="Times New Roman"/>
          <w:b/>
          <w:szCs w:val="24"/>
        </w:rPr>
        <w:t xml:space="preserve">nyilvánosság </w:t>
      </w:r>
      <w:r w:rsidRPr="00FA479D">
        <w:rPr>
          <w:rFonts w:cs="Times New Roman"/>
          <w:szCs w:val="24"/>
        </w:rPr>
        <w:t>- minden olyan csoport, amely tényleges vagy potenciális érdeklődést tanúsít vagy befolyásolja a vállalat azon képességét, hogy elérje céljait:</w:t>
      </w:r>
    </w:p>
    <w:p w14:paraId="4607F326"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Pénzügyi nyilvánosság</w:t>
      </w:r>
    </w:p>
    <w:p w14:paraId="3A07D917"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Média</w:t>
      </w:r>
    </w:p>
    <w:p w14:paraId="5A200A7D"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Kormányzat</w:t>
      </w:r>
    </w:p>
    <w:p w14:paraId="1A3F5406"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Polgári kezdeményezések csoportjai</w:t>
      </w:r>
    </w:p>
    <w:p w14:paraId="0A873244"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Helyi közvélemény</w:t>
      </w:r>
    </w:p>
    <w:p w14:paraId="7FA00423"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Általános közvélemény</w:t>
      </w:r>
    </w:p>
    <w:p w14:paraId="38CB9DB7"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Belső közvélemény</w:t>
      </w:r>
    </w:p>
    <w:p w14:paraId="766E37A4" w14:textId="77777777" w:rsidR="0001325B" w:rsidRDefault="0001325B" w:rsidP="00EC10C5">
      <w:pPr>
        <w:pStyle w:val="Stlus1"/>
      </w:pPr>
      <w:bookmarkStart w:id="29" w:name="_Toc1568855"/>
      <w:bookmarkStart w:id="30" w:name="_Toc18440816"/>
    </w:p>
    <w:p w14:paraId="7D597753" w14:textId="77777777" w:rsidR="00C46DB0" w:rsidRPr="00CB0A5E" w:rsidRDefault="00C46DB0" w:rsidP="00EC10C5">
      <w:pPr>
        <w:pStyle w:val="Stlus1"/>
      </w:pPr>
      <w:proofErr w:type="spellStart"/>
      <w:r w:rsidRPr="00CB0A5E">
        <w:t>Makrokörnyezet</w:t>
      </w:r>
      <w:bookmarkEnd w:id="29"/>
      <w:bookmarkEnd w:id="30"/>
      <w:proofErr w:type="spellEnd"/>
    </w:p>
    <w:p w14:paraId="6C43A8F4"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Cs/>
          <w:sz w:val="24"/>
          <w:szCs w:val="24"/>
        </w:rPr>
        <w:t xml:space="preserve">A </w:t>
      </w:r>
      <w:proofErr w:type="spellStart"/>
      <w:r w:rsidRPr="00CB0A5E">
        <w:rPr>
          <w:rFonts w:ascii="Times New Roman" w:hAnsi="Times New Roman" w:cs="Times New Roman"/>
          <w:bCs/>
          <w:sz w:val="24"/>
          <w:szCs w:val="24"/>
        </w:rPr>
        <w:t>makrokörnyezet</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 xml:space="preserve">a nem csak a vállalat működését, hanem a teljes marketing rendszer, annak minden szereplőjének működését befolyásolja. A </w:t>
      </w:r>
      <w:proofErr w:type="spellStart"/>
      <w:r w:rsidRPr="00CB0A5E">
        <w:rPr>
          <w:rFonts w:ascii="Times New Roman" w:hAnsi="Times New Roman" w:cs="Times New Roman"/>
          <w:sz w:val="24"/>
          <w:szCs w:val="24"/>
        </w:rPr>
        <w:t>makrokörnyezetet</w:t>
      </w:r>
      <w:proofErr w:type="spellEnd"/>
      <w:r w:rsidRPr="00CB0A5E">
        <w:rPr>
          <w:rFonts w:ascii="Times New Roman" w:hAnsi="Times New Roman" w:cs="Times New Roman"/>
          <w:sz w:val="24"/>
          <w:szCs w:val="24"/>
        </w:rPr>
        <w:t xml:space="preserve"> alkotó tényezők a vállalat életére befolyással bíró elemeinek alapos ismerete jelenti a környezethez való alkalmazkodás egyik alapelemét. A másik fontos tényező a </w:t>
      </w:r>
      <w:proofErr w:type="spellStart"/>
      <w:r w:rsidRPr="00CB0A5E">
        <w:rPr>
          <w:rFonts w:ascii="Times New Roman" w:hAnsi="Times New Roman" w:cs="Times New Roman"/>
          <w:sz w:val="24"/>
          <w:szCs w:val="24"/>
        </w:rPr>
        <w:t>makrokörnyezet</w:t>
      </w:r>
      <w:proofErr w:type="spellEnd"/>
      <w:r w:rsidRPr="00CB0A5E">
        <w:rPr>
          <w:rFonts w:ascii="Times New Roman" w:hAnsi="Times New Roman" w:cs="Times New Roman"/>
          <w:sz w:val="24"/>
          <w:szCs w:val="24"/>
        </w:rPr>
        <w:t xml:space="preserve"> változásának nyomon követése, annak értékelése, hogy a változások hogyan érintik a vállalat tevékenységét.    </w:t>
      </w:r>
    </w:p>
    <w:p w14:paraId="7AB597F1" w14:textId="77777777" w:rsidR="00C46DB0" w:rsidRPr="00CB0A5E" w:rsidRDefault="00C46DB0" w:rsidP="00EC10C5">
      <w:pPr>
        <w:numPr>
          <w:ilvl w:val="0"/>
          <w:numId w:val="17"/>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Demográfiai (</w:t>
      </w:r>
      <w:proofErr w:type="spellStart"/>
      <w:r w:rsidRPr="00CB0A5E">
        <w:rPr>
          <w:rFonts w:ascii="Times New Roman" w:hAnsi="Times New Roman" w:cs="Times New Roman"/>
          <w:sz w:val="24"/>
          <w:szCs w:val="24"/>
        </w:rPr>
        <w:t>demographic</w:t>
      </w:r>
      <w:proofErr w:type="spellEnd"/>
      <w:r w:rsidRPr="00CB0A5E">
        <w:rPr>
          <w:rFonts w:ascii="Times New Roman" w:hAnsi="Times New Roman" w:cs="Times New Roman"/>
          <w:sz w:val="24"/>
          <w:szCs w:val="24"/>
        </w:rPr>
        <w:t>) -</w:t>
      </w:r>
      <w:r w:rsidRPr="00CB0A5E">
        <w:rPr>
          <w:rFonts w:ascii="Times New Roman" w:hAnsi="Times New Roman" w:cs="Times New Roman"/>
          <w:color w:val="000000" w:themeColor="text1"/>
          <w:sz w:val="24"/>
          <w:szCs w:val="24"/>
          <w:lang w:eastAsia="hu-HU"/>
          <w14:textFill>
            <w14:solidFill>
              <w14:schemeClr w14:val="tx1">
                <w14:satOff w14:val="0"/>
                <w14:lumOff w14:val="0"/>
              </w14:schemeClr>
            </w14:solidFill>
          </w14:textFill>
        </w:rPr>
        <w:t xml:space="preserve"> </w:t>
      </w:r>
      <w:r w:rsidRPr="00CB0A5E">
        <w:rPr>
          <w:rFonts w:ascii="Times New Roman" w:hAnsi="Times New Roman" w:cs="Times New Roman"/>
          <w:sz w:val="24"/>
          <w:szCs w:val="24"/>
        </w:rPr>
        <w:t xml:space="preserve">Demográfia a népesség vizsgálata annak fontosabb jellemzői, például a méret, a sűrűség, a lakóhelyek, kor, nem, faj, foglalkozás és más statisztikák alapján. </w:t>
      </w:r>
      <w:r w:rsidRPr="00CB0A5E">
        <w:rPr>
          <w:rFonts w:ascii="Times New Roman" w:hAnsi="Times New Roman" w:cs="Times New Roman"/>
          <w:b/>
          <w:bCs/>
          <w:sz w:val="24"/>
          <w:szCs w:val="24"/>
        </w:rPr>
        <w:t xml:space="preserve">A demográfiai környezet </w:t>
      </w:r>
      <w:r w:rsidRPr="00CB0A5E">
        <w:rPr>
          <w:rFonts w:ascii="Times New Roman" w:hAnsi="Times New Roman" w:cs="Times New Roman"/>
          <w:sz w:val="24"/>
          <w:szCs w:val="24"/>
        </w:rPr>
        <w:t>az emberekből áll, akik a piacot alkotják.</w:t>
      </w:r>
      <w:r w:rsidRPr="00CB0A5E">
        <w:rPr>
          <w:rFonts w:ascii="Times New Roman" w:hAnsi="Times New Roman" w:cs="Times New Roman"/>
          <w:b/>
          <w:bCs/>
          <w:sz w:val="24"/>
          <w:szCs w:val="24"/>
        </w:rPr>
        <w:t xml:space="preserve"> A demográfiai trendek </w:t>
      </w:r>
      <w:r w:rsidRPr="00CB0A5E">
        <w:rPr>
          <w:rFonts w:ascii="Times New Roman" w:hAnsi="Times New Roman" w:cs="Times New Roman"/>
          <w:sz w:val="24"/>
          <w:szCs w:val="24"/>
        </w:rPr>
        <w:t xml:space="preserve">olyan jelenségeket takarnak, mint a változó kor és családstruktúra, végzettséggel, foglalkozással kapcsolatos változások A generációs marketing jelentősége fontos a szegmentálásnál, az életstílus, élet szakasz </w:t>
      </w:r>
      <w:proofErr w:type="gramStart"/>
      <w:r w:rsidRPr="00CB0A5E">
        <w:rPr>
          <w:rFonts w:ascii="Times New Roman" w:hAnsi="Times New Roman" w:cs="Times New Roman"/>
          <w:sz w:val="24"/>
          <w:szCs w:val="24"/>
        </w:rPr>
        <w:t>figyelembe vétele</w:t>
      </w:r>
      <w:proofErr w:type="gramEnd"/>
      <w:r w:rsidRPr="00CB0A5E">
        <w:rPr>
          <w:rFonts w:ascii="Times New Roman" w:hAnsi="Times New Roman" w:cs="Times New Roman"/>
          <w:sz w:val="24"/>
          <w:szCs w:val="24"/>
        </w:rPr>
        <w:t xml:space="preserve"> sokszor célravezetőbb az életkor szerinti szegmentációnál. Fontosabb trendek: </w:t>
      </w:r>
    </w:p>
    <w:p w14:paraId="2392E9C5"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 xml:space="preserve">Változó családok (családi szerepek, nők munkavállalása) </w:t>
      </w:r>
    </w:p>
    <w:p w14:paraId="561EEFB9"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 xml:space="preserve">Változó munkahelyek (változás az emberek munkatevékenységében, </w:t>
      </w:r>
      <w:proofErr w:type="spellStart"/>
      <w:r w:rsidRPr="00CB0A5E">
        <w:rPr>
          <w:rFonts w:ascii="Times New Roman" w:hAnsi="Times New Roman" w:cs="Times New Roman"/>
          <w:sz w:val="24"/>
          <w:szCs w:val="24"/>
        </w:rPr>
        <w:t>telecommuting</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home</w:t>
      </w:r>
      <w:proofErr w:type="spellEnd"/>
      <w:r w:rsidRPr="00CB0A5E">
        <w:rPr>
          <w:rFonts w:ascii="Times New Roman" w:hAnsi="Times New Roman" w:cs="Times New Roman"/>
          <w:sz w:val="24"/>
          <w:szCs w:val="24"/>
        </w:rPr>
        <w:t xml:space="preserve"> office, </w:t>
      </w:r>
      <w:proofErr w:type="spellStart"/>
      <w:r w:rsidRPr="00CB0A5E">
        <w:rPr>
          <w:rFonts w:ascii="Times New Roman" w:hAnsi="Times New Roman" w:cs="Times New Roman"/>
          <w:sz w:val="24"/>
          <w:szCs w:val="24"/>
        </w:rPr>
        <w:t>open</w:t>
      </w:r>
      <w:proofErr w:type="spellEnd"/>
      <w:r w:rsidRPr="00CB0A5E">
        <w:rPr>
          <w:rFonts w:ascii="Times New Roman" w:hAnsi="Times New Roman" w:cs="Times New Roman"/>
          <w:sz w:val="24"/>
          <w:szCs w:val="24"/>
        </w:rPr>
        <w:t xml:space="preserve"> office, </w:t>
      </w:r>
      <w:proofErr w:type="spellStart"/>
      <w:r w:rsidRPr="00CB0A5E">
        <w:rPr>
          <w:rFonts w:ascii="Times New Roman" w:hAnsi="Times New Roman" w:cs="Times New Roman"/>
          <w:sz w:val="24"/>
          <w:szCs w:val="24"/>
        </w:rPr>
        <w:t>desk</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sharing</w:t>
      </w:r>
      <w:proofErr w:type="spellEnd"/>
      <w:r w:rsidRPr="00CB0A5E">
        <w:rPr>
          <w:rFonts w:ascii="Times New Roman" w:hAnsi="Times New Roman" w:cs="Times New Roman"/>
          <w:sz w:val="24"/>
          <w:szCs w:val="24"/>
        </w:rPr>
        <w:t>)</w:t>
      </w:r>
    </w:p>
    <w:p w14:paraId="7BDF7F25" w14:textId="77777777" w:rsidR="00C46DB0" w:rsidRPr="00CB0A5E" w:rsidRDefault="00C46DB0" w:rsidP="00EC10C5">
      <w:pPr>
        <w:numPr>
          <w:ilvl w:val="0"/>
          <w:numId w:val="17"/>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Politikai </w:t>
      </w:r>
      <w:r w:rsidRPr="00CB0A5E">
        <w:rPr>
          <w:rFonts w:ascii="Times New Roman" w:hAnsi="Times New Roman" w:cs="Times New Roman"/>
          <w:sz w:val="24"/>
          <w:szCs w:val="24"/>
        </w:rPr>
        <w:t>(</w:t>
      </w:r>
      <w:proofErr w:type="spellStart"/>
      <w:r w:rsidRPr="00CB0A5E">
        <w:rPr>
          <w:rFonts w:ascii="Times New Roman" w:hAnsi="Times New Roman" w:cs="Times New Roman"/>
          <w:sz w:val="24"/>
          <w:szCs w:val="24"/>
        </w:rPr>
        <w:t>political</w:t>
      </w:r>
      <w:proofErr w:type="spellEnd"/>
      <w:r w:rsidRPr="00CB0A5E">
        <w:rPr>
          <w:rFonts w:ascii="Times New Roman" w:hAnsi="Times New Roman" w:cs="Times New Roman"/>
          <w:sz w:val="24"/>
          <w:szCs w:val="24"/>
        </w:rPr>
        <w:t xml:space="preserve">)- A politikai környezet a politikai és jogi tényezőket foglalja magába, azáltal, hogy létrehozza azokat a jogszabályi feltételeket, amelyben a vállalatoknak működniük kell. Európában a vállalatoknak az Európai Uniós és a nemzeti jogszabályoknak is meg kell felelniük.  A jogszabályi háttér biztosítja vállalatok és fogyasztók védelmét, például a vállalatokat egymástól, a fogyasztókat a vállalatok tisztességtelen magatartásától, a társadalom érdekeit a féktelen üzleti magatartás ellen. </w:t>
      </w:r>
    </w:p>
    <w:p w14:paraId="481DA0B5" w14:textId="77777777" w:rsidR="00C46DB0" w:rsidRPr="00FA479D" w:rsidRDefault="00C46DB0" w:rsidP="00EC10C5">
      <w:pPr>
        <w:spacing w:after="60" w:line="240" w:lineRule="auto"/>
        <w:ind w:firstLine="567"/>
        <w:jc w:val="both"/>
        <w:rPr>
          <w:rFonts w:ascii="Times New Roman" w:hAnsi="Times New Roman" w:cs="Times New Roman"/>
          <w:sz w:val="24"/>
          <w:szCs w:val="24"/>
        </w:rPr>
      </w:pPr>
      <w:r w:rsidRPr="00FA479D">
        <w:rPr>
          <w:rFonts w:ascii="Times New Roman" w:hAnsi="Times New Roman" w:cs="Times New Roman"/>
          <w:sz w:val="24"/>
          <w:szCs w:val="24"/>
        </w:rPr>
        <w:t>T</w:t>
      </w:r>
      <w:r w:rsidR="00FA479D">
        <w:rPr>
          <w:rFonts w:ascii="Times New Roman" w:hAnsi="Times New Roman" w:cs="Times New Roman"/>
          <w:sz w:val="24"/>
          <w:szCs w:val="24"/>
        </w:rPr>
        <w:t>rendek</w:t>
      </w:r>
    </w:p>
    <w:p w14:paraId="33AB19BE"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Fokozott hangsúly az etikus viselkedésen</w:t>
      </w:r>
    </w:p>
    <w:p w14:paraId="46076DA2"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 xml:space="preserve">Társadalmilag felelős magatartás </w:t>
      </w:r>
    </w:p>
    <w:p w14:paraId="2605B100"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Eseményhez/ ügyhöz kapcsolódó marketing</w:t>
      </w:r>
    </w:p>
    <w:p w14:paraId="43641BF9" w14:textId="77777777" w:rsidR="00C46DB0" w:rsidRPr="00CB0A5E" w:rsidRDefault="00C46DB0" w:rsidP="00EC10C5">
      <w:pPr>
        <w:numPr>
          <w:ilvl w:val="1"/>
          <w:numId w:val="16"/>
        </w:numPr>
        <w:tabs>
          <w:tab w:val="clear" w:pos="1080"/>
          <w:tab w:val="num" w:pos="567"/>
        </w:tabs>
        <w:spacing w:after="60" w:line="240" w:lineRule="auto"/>
        <w:ind w:left="567" w:firstLine="709"/>
        <w:jc w:val="both"/>
        <w:rPr>
          <w:rFonts w:ascii="Times New Roman" w:hAnsi="Times New Roman" w:cs="Times New Roman"/>
          <w:sz w:val="24"/>
          <w:szCs w:val="24"/>
        </w:rPr>
      </w:pPr>
      <w:r w:rsidRPr="00FA479D">
        <w:rPr>
          <w:rFonts w:ascii="Times New Roman" w:hAnsi="Times New Roman" w:cs="Times New Roman"/>
          <w:sz w:val="24"/>
          <w:szCs w:val="24"/>
        </w:rPr>
        <w:t>Gazdasági</w:t>
      </w:r>
      <w:r w:rsidRPr="00CB0A5E">
        <w:rPr>
          <w:rFonts w:ascii="Times New Roman" w:hAnsi="Times New Roman" w:cs="Times New Roman"/>
          <w:b/>
          <w:sz w:val="24"/>
          <w:szCs w:val="24"/>
        </w:rPr>
        <w:t xml:space="preserve"> </w:t>
      </w:r>
      <w:r w:rsidRPr="00CB0A5E">
        <w:rPr>
          <w:rFonts w:ascii="Times New Roman" w:hAnsi="Times New Roman" w:cs="Times New Roman"/>
          <w:sz w:val="24"/>
          <w:szCs w:val="24"/>
        </w:rPr>
        <w:t>(</w:t>
      </w:r>
      <w:proofErr w:type="spellStart"/>
      <w:r w:rsidRPr="00CB0A5E">
        <w:rPr>
          <w:rFonts w:ascii="Times New Roman" w:hAnsi="Times New Roman" w:cs="Times New Roman"/>
          <w:sz w:val="24"/>
          <w:szCs w:val="24"/>
        </w:rPr>
        <w:t>Economic</w:t>
      </w:r>
      <w:proofErr w:type="spellEnd"/>
      <w:r w:rsidRPr="00CB0A5E">
        <w:rPr>
          <w:rFonts w:ascii="Times New Roman" w:hAnsi="Times New Roman" w:cs="Times New Roman"/>
          <w:sz w:val="24"/>
          <w:szCs w:val="24"/>
        </w:rPr>
        <w:t xml:space="preserve">) – A gazdasági tényezők azokból az elemekből állnak, melyek befolyásolják a vevők vásárlóerejét, és a költésüket. Fontos nyomon követni a </w:t>
      </w:r>
      <w:r w:rsidRPr="00CB0A5E">
        <w:rPr>
          <w:rFonts w:ascii="Times New Roman" w:hAnsi="Times New Roman" w:cs="Times New Roman"/>
          <w:sz w:val="24"/>
          <w:szCs w:val="24"/>
        </w:rPr>
        <w:lastRenderedPageBreak/>
        <w:t>gazdasági mutatószámok (</w:t>
      </w:r>
      <w:r w:rsidRPr="00CB0A5E">
        <w:rPr>
          <w:rFonts w:ascii="Times New Roman" w:hAnsi="Times New Roman" w:cs="Times New Roman"/>
          <w:bCs/>
          <w:sz w:val="24"/>
          <w:szCs w:val="24"/>
        </w:rPr>
        <w:t>a jövedelemszint</w:t>
      </w:r>
      <w:r w:rsidRPr="00CB0A5E">
        <w:rPr>
          <w:rFonts w:ascii="Times New Roman" w:hAnsi="Times New Roman" w:cs="Times New Roman"/>
          <w:sz w:val="24"/>
          <w:szCs w:val="24"/>
        </w:rPr>
        <w:t xml:space="preserve">, a gazdasági növekedés, munkanélküliség, </w:t>
      </w:r>
      <w:r w:rsidRPr="00CB0A5E">
        <w:rPr>
          <w:rFonts w:ascii="Times New Roman" w:hAnsi="Times New Roman" w:cs="Times New Roman"/>
          <w:bCs/>
          <w:sz w:val="24"/>
          <w:szCs w:val="24"/>
        </w:rPr>
        <w:t xml:space="preserve">az életszínvonal, a kamatlábak, a megtakarítási és hitelfelvételi </w:t>
      </w:r>
      <w:r w:rsidRPr="00CB0A5E">
        <w:rPr>
          <w:rFonts w:ascii="Times New Roman" w:hAnsi="Times New Roman" w:cs="Times New Roman"/>
          <w:sz w:val="24"/>
          <w:szCs w:val="24"/>
        </w:rPr>
        <w:t>mutatószámok) változását.</w:t>
      </w:r>
    </w:p>
    <w:p w14:paraId="72920A87" w14:textId="77777777" w:rsidR="00FA479D" w:rsidRDefault="00FA479D" w:rsidP="00EC10C5">
      <w:pPr>
        <w:spacing w:after="60" w:line="240" w:lineRule="auto"/>
        <w:ind w:left="567"/>
        <w:jc w:val="both"/>
        <w:rPr>
          <w:rFonts w:ascii="Times New Roman" w:hAnsi="Times New Roman" w:cs="Times New Roman"/>
          <w:sz w:val="24"/>
          <w:szCs w:val="24"/>
        </w:rPr>
      </w:pPr>
      <w:r>
        <w:rPr>
          <w:rFonts w:ascii="Times New Roman" w:hAnsi="Times New Roman" w:cs="Times New Roman"/>
          <w:sz w:val="24"/>
          <w:szCs w:val="24"/>
        </w:rPr>
        <w:t>Trendek</w:t>
      </w:r>
    </w:p>
    <w:p w14:paraId="67AACC89" w14:textId="77777777" w:rsidR="00C46DB0" w:rsidRPr="00FA479D" w:rsidRDefault="00C46DB0" w:rsidP="00EC10C5">
      <w:pPr>
        <w:spacing w:after="60" w:line="240" w:lineRule="auto"/>
        <w:ind w:left="567"/>
        <w:jc w:val="both"/>
        <w:rPr>
          <w:rFonts w:ascii="Times New Roman" w:hAnsi="Times New Roman" w:cs="Times New Roman"/>
          <w:sz w:val="24"/>
          <w:szCs w:val="24"/>
        </w:rPr>
      </w:pPr>
      <w:r w:rsidRPr="00FA479D">
        <w:rPr>
          <w:rFonts w:ascii="Times New Roman" w:hAnsi="Times New Roman" w:cs="Times New Roman"/>
          <w:sz w:val="24"/>
          <w:szCs w:val="24"/>
        </w:rPr>
        <w:t>A gazdasági válság hatására változások tapasztalhatók a fogyasztók költéseiben, nem csak Magyarországon, de globálisan is. Az é</w:t>
      </w:r>
      <w:r w:rsidRPr="00FA479D">
        <w:rPr>
          <w:rFonts w:ascii="Times New Roman" w:hAnsi="Times New Roman" w:cs="Times New Roman"/>
          <w:bCs/>
          <w:sz w:val="24"/>
          <w:szCs w:val="24"/>
        </w:rPr>
        <w:t>rték központi kérdéssé vált a marketingben</w:t>
      </w:r>
      <w:r w:rsidRPr="00FA479D">
        <w:rPr>
          <w:rFonts w:ascii="Times New Roman" w:hAnsi="Times New Roman" w:cs="Times New Roman"/>
          <w:b/>
          <w:bCs/>
          <w:sz w:val="24"/>
          <w:szCs w:val="24"/>
        </w:rPr>
        <w:t xml:space="preserve"> </w:t>
      </w:r>
      <w:r w:rsidRPr="00FA479D">
        <w:rPr>
          <w:rFonts w:ascii="Times New Roman" w:hAnsi="Times New Roman" w:cs="Times New Roman"/>
          <w:sz w:val="24"/>
          <w:szCs w:val="24"/>
        </w:rPr>
        <w:t xml:space="preserve">– a fogyasztók azonos összegért magasabb értéket várnak el (adott szolgáltatások és minőség kombinációja méltányos áron, </w:t>
      </w:r>
      <w:proofErr w:type="spellStart"/>
      <w:r w:rsidRPr="00FA479D">
        <w:rPr>
          <w:rFonts w:ascii="Times New Roman" w:hAnsi="Times New Roman" w:cs="Times New Roman"/>
          <w:sz w:val="24"/>
          <w:szCs w:val="24"/>
        </w:rPr>
        <w:t>árérzékeny</w:t>
      </w:r>
      <w:proofErr w:type="spellEnd"/>
      <w:r w:rsidRPr="00FA479D">
        <w:rPr>
          <w:rFonts w:ascii="Times New Roman" w:hAnsi="Times New Roman" w:cs="Times New Roman"/>
          <w:sz w:val="24"/>
          <w:szCs w:val="24"/>
        </w:rPr>
        <w:t xml:space="preserve"> / </w:t>
      </w:r>
      <w:proofErr w:type="spellStart"/>
      <w:r w:rsidRPr="00FA479D">
        <w:rPr>
          <w:rFonts w:ascii="Times New Roman" w:hAnsi="Times New Roman" w:cs="Times New Roman"/>
          <w:sz w:val="24"/>
          <w:szCs w:val="24"/>
        </w:rPr>
        <w:t>ártudatos</w:t>
      </w:r>
      <w:proofErr w:type="spellEnd"/>
      <w:r w:rsidRPr="00FA479D">
        <w:rPr>
          <w:rFonts w:ascii="Times New Roman" w:hAnsi="Times New Roman" w:cs="Times New Roman"/>
          <w:sz w:val="24"/>
          <w:szCs w:val="24"/>
        </w:rPr>
        <w:t xml:space="preserve"> vásárlók). Szintén globális trend, hogy az elmúlt évtizedekben a leggazdagabb rétegek még gazdagabbak lettek, a középréteg összezsugorodott, a szegények aránya növekedett. </w:t>
      </w:r>
    </w:p>
    <w:p w14:paraId="1E758867" w14:textId="77777777" w:rsidR="00C46DB0" w:rsidRPr="00CB0A5E" w:rsidRDefault="00C46DB0" w:rsidP="00EC10C5">
      <w:pPr>
        <w:numPr>
          <w:ilvl w:val="1"/>
          <w:numId w:val="17"/>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Természeti (</w:t>
      </w:r>
      <w:proofErr w:type="spellStart"/>
      <w:r w:rsidRPr="00CB0A5E">
        <w:rPr>
          <w:rFonts w:ascii="Times New Roman" w:hAnsi="Times New Roman" w:cs="Times New Roman"/>
          <w:b/>
          <w:sz w:val="24"/>
          <w:szCs w:val="24"/>
        </w:rPr>
        <w:t>Environmental</w:t>
      </w:r>
      <w:proofErr w:type="spellEnd"/>
      <w:r w:rsidRPr="00CB0A5E">
        <w:rPr>
          <w:rFonts w:ascii="Times New Roman" w:hAnsi="Times New Roman" w:cs="Times New Roman"/>
          <w:b/>
          <w:sz w:val="24"/>
          <w:szCs w:val="24"/>
        </w:rPr>
        <w:t>)–</w:t>
      </w:r>
      <w:r w:rsidRPr="00CB0A5E">
        <w:rPr>
          <w:rFonts w:ascii="Times New Roman" w:hAnsi="Times New Roman" w:cs="Times New Roman"/>
          <w:sz w:val="24"/>
          <w:szCs w:val="24"/>
        </w:rPr>
        <w:t xml:space="preserve"> Környezeti fenntarthatóság azokat a stratégiákat és gyakorlatokat foglalja magában, amelyek célja a bolygó erőforrásainak megőrzése.  </w:t>
      </w:r>
    </w:p>
    <w:p w14:paraId="1DFE88B9" w14:textId="77777777" w:rsidR="00C46DB0" w:rsidRPr="00FA479D" w:rsidRDefault="00C46DB0" w:rsidP="00EC10C5">
      <w:pPr>
        <w:spacing w:after="60" w:line="240" w:lineRule="auto"/>
        <w:ind w:left="567"/>
        <w:jc w:val="both"/>
        <w:rPr>
          <w:rFonts w:ascii="Times New Roman" w:hAnsi="Times New Roman" w:cs="Times New Roman"/>
          <w:sz w:val="24"/>
          <w:szCs w:val="24"/>
        </w:rPr>
      </w:pPr>
      <w:r w:rsidRPr="00FA479D">
        <w:rPr>
          <w:rFonts w:ascii="Times New Roman" w:hAnsi="Times New Roman" w:cs="Times New Roman"/>
          <w:sz w:val="24"/>
          <w:szCs w:val="24"/>
        </w:rPr>
        <w:t>Trendek</w:t>
      </w:r>
    </w:p>
    <w:p w14:paraId="48CFE89D"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Csökkenő alapanyag forrás</w:t>
      </w:r>
    </w:p>
    <w:p w14:paraId="6B1BACD8"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Növekvő légszennyezés</w:t>
      </w:r>
    </w:p>
    <w:p w14:paraId="1FC2C432"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Jelentősebb kormányzati beavatkozás</w:t>
      </w:r>
    </w:p>
    <w:p w14:paraId="0DED7108"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Olyan stratégiák kiépítése, amely a fenntarthatóságot támogatja</w:t>
      </w:r>
    </w:p>
    <w:p w14:paraId="69160297"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 xml:space="preserve">A Túlfogyasztás napja – 2018. augusztus 1.  </w:t>
      </w:r>
    </w:p>
    <w:p w14:paraId="0C6E4E06" w14:textId="77777777" w:rsidR="00C46DB0" w:rsidRPr="00CB0A5E" w:rsidRDefault="00C46DB0" w:rsidP="00EC10C5">
      <w:pPr>
        <w:numPr>
          <w:ilvl w:val="0"/>
          <w:numId w:val="17"/>
        </w:numPr>
        <w:tabs>
          <w:tab w:val="num" w:pos="1080"/>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Technológiai (</w:t>
      </w:r>
      <w:proofErr w:type="spellStart"/>
      <w:r w:rsidRPr="00CB0A5E">
        <w:rPr>
          <w:rFonts w:ascii="Times New Roman" w:hAnsi="Times New Roman" w:cs="Times New Roman"/>
          <w:b/>
          <w:sz w:val="24"/>
          <w:szCs w:val="24"/>
        </w:rPr>
        <w:t>Technologial</w:t>
      </w:r>
      <w:proofErr w:type="spellEnd"/>
      <w:r w:rsidRPr="00CB0A5E">
        <w:rPr>
          <w:rFonts w:ascii="Times New Roman" w:hAnsi="Times New Roman" w:cs="Times New Roman"/>
          <w:b/>
          <w:sz w:val="24"/>
          <w:szCs w:val="24"/>
        </w:rPr>
        <w:t>) tényezők</w:t>
      </w:r>
      <w:r w:rsidRPr="00CB0A5E">
        <w:rPr>
          <w:rFonts w:ascii="Times New Roman" w:hAnsi="Times New Roman" w:cs="Times New Roman"/>
          <w:sz w:val="24"/>
          <w:szCs w:val="24"/>
        </w:rPr>
        <w:t xml:space="preserve"> – A technológiai környezetet azok a tényezők alkotják, amelyek az új technológiák használatát teszik lehetővé a vállalatok számára. A legdrámaibb változások ezen a téren jelentkeztek az elmúlt évtizedekben. Új termékek jöttek létre, új piacok, új lehetőségek jelentek meg a vállalatok számára. Ugyanakkor a technológiai változások új veszélyeket is hordozhatnak a vállalatok és a fogyasztók számára (például a termékek biztonsága, az információ biztonsága).</w:t>
      </w:r>
    </w:p>
    <w:p w14:paraId="7EB3F69F" w14:textId="77777777" w:rsidR="00C46DB0" w:rsidRPr="00CB0A5E" w:rsidRDefault="00C46DB0" w:rsidP="00EC10C5">
      <w:pPr>
        <w:numPr>
          <w:ilvl w:val="1"/>
          <w:numId w:val="17"/>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Kulturális tényezők (</w:t>
      </w:r>
      <w:proofErr w:type="spellStart"/>
      <w:r w:rsidRPr="00CB0A5E">
        <w:rPr>
          <w:rFonts w:ascii="Times New Roman" w:hAnsi="Times New Roman" w:cs="Times New Roman"/>
          <w:b/>
          <w:sz w:val="24"/>
          <w:szCs w:val="24"/>
        </w:rPr>
        <w:t>cultural</w:t>
      </w:r>
      <w:proofErr w:type="spellEnd"/>
      <w:r w:rsidRPr="00CB0A5E">
        <w:rPr>
          <w:rFonts w:ascii="Times New Roman" w:hAnsi="Times New Roman" w:cs="Times New Roman"/>
          <w:b/>
          <w:sz w:val="24"/>
          <w:szCs w:val="24"/>
        </w:rPr>
        <w:t xml:space="preserve">) </w:t>
      </w:r>
      <w:r w:rsidRPr="00CB0A5E">
        <w:rPr>
          <w:rFonts w:ascii="Times New Roman" w:hAnsi="Times New Roman" w:cs="Times New Roman"/>
          <w:sz w:val="24"/>
          <w:szCs w:val="24"/>
        </w:rPr>
        <w:t>- A kulturális környezet olyan intézményekből és más erőkből áll, amelyek befolyásolják a társadalom alapvető értékeit, észlelését és viselkedését.</w:t>
      </w:r>
    </w:p>
    <w:p w14:paraId="590925AD"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FA479D">
        <w:rPr>
          <w:rFonts w:ascii="Times New Roman" w:hAnsi="Times New Roman" w:cs="Times New Roman"/>
          <w:sz w:val="24"/>
          <w:szCs w:val="24"/>
        </w:rPr>
        <w:t xml:space="preserve">Az alapvető hiedelmek és értékek </w:t>
      </w:r>
      <w:r w:rsidRPr="00CB0A5E">
        <w:rPr>
          <w:rFonts w:ascii="Times New Roman" w:hAnsi="Times New Roman" w:cs="Times New Roman"/>
          <w:sz w:val="24"/>
          <w:szCs w:val="24"/>
        </w:rPr>
        <w:t>tartósak és a szülőkről a gyermekekre szállnak, ezt tovább erősítik az iskolák, az egyházak, a vállalkozások és a kormányok.</w:t>
      </w:r>
    </w:p>
    <w:p w14:paraId="4EF737B0" w14:textId="77777777" w:rsidR="00C46DB0" w:rsidRPr="00CB0A5E" w:rsidRDefault="00C46DB0" w:rsidP="00EC10C5">
      <w:pPr>
        <w:numPr>
          <w:ilvl w:val="2"/>
          <w:numId w:val="16"/>
        </w:numPr>
        <w:spacing w:after="60" w:line="240" w:lineRule="auto"/>
        <w:jc w:val="both"/>
        <w:rPr>
          <w:rFonts w:ascii="Times New Roman" w:hAnsi="Times New Roman" w:cs="Times New Roman"/>
          <w:sz w:val="24"/>
          <w:szCs w:val="24"/>
        </w:rPr>
      </w:pPr>
      <w:r w:rsidRPr="00FA479D">
        <w:rPr>
          <w:rFonts w:ascii="Times New Roman" w:hAnsi="Times New Roman" w:cs="Times New Roman"/>
          <w:sz w:val="24"/>
          <w:szCs w:val="24"/>
        </w:rPr>
        <w:t xml:space="preserve">A másodlagos hiedelmek és értékek </w:t>
      </w:r>
      <w:r w:rsidRPr="00CB0A5E">
        <w:rPr>
          <w:rFonts w:ascii="Times New Roman" w:hAnsi="Times New Roman" w:cs="Times New Roman"/>
          <w:sz w:val="24"/>
          <w:szCs w:val="24"/>
        </w:rPr>
        <w:t>nyitottabbak a változásra, és magukban foglalják az emberek saját magukról, másokról, szervezetekről, társadalomról, természetről és a világról alkotott nézeteit.</w:t>
      </w:r>
    </w:p>
    <w:p w14:paraId="7D202C9B" w14:textId="77777777" w:rsidR="00C46DB0" w:rsidRPr="00CB0A5E" w:rsidRDefault="00C46DB0"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 xml:space="preserve">Nem elég megérteni a </w:t>
      </w:r>
      <w:proofErr w:type="spellStart"/>
      <w:r w:rsidRPr="00CB0A5E">
        <w:rPr>
          <w:rFonts w:ascii="Times New Roman" w:hAnsi="Times New Roman" w:cs="Times New Roman"/>
          <w:bCs/>
          <w:sz w:val="24"/>
          <w:szCs w:val="24"/>
        </w:rPr>
        <w:t>makrokörnyezet</w:t>
      </w:r>
      <w:proofErr w:type="spellEnd"/>
      <w:r w:rsidRPr="00CB0A5E">
        <w:rPr>
          <w:rFonts w:ascii="Times New Roman" w:hAnsi="Times New Roman" w:cs="Times New Roman"/>
          <w:bCs/>
          <w:sz w:val="24"/>
          <w:szCs w:val="24"/>
        </w:rPr>
        <w:t xml:space="preserve"> változásait, a vállalatnak reagálnia is kell azokra. A vállalatok különböző módokon reagálhatnak a környezeti tényezőkre (</w:t>
      </w:r>
      <w:proofErr w:type="spellStart"/>
      <w:r w:rsidRPr="00CB0A5E">
        <w:rPr>
          <w:rFonts w:ascii="Times New Roman" w:hAnsi="Times New Roman" w:cs="Times New Roman"/>
          <w:bCs/>
          <w:sz w:val="24"/>
          <w:szCs w:val="24"/>
        </w:rPr>
        <w:t>Jobber</w:t>
      </w:r>
      <w:proofErr w:type="spellEnd"/>
      <w:r w:rsidRPr="00CB0A5E">
        <w:rPr>
          <w:rFonts w:ascii="Times New Roman" w:hAnsi="Times New Roman" w:cs="Times New Roman"/>
          <w:bCs/>
          <w:sz w:val="24"/>
          <w:szCs w:val="24"/>
        </w:rPr>
        <w:t xml:space="preserve">, 2015): </w:t>
      </w:r>
    </w:p>
    <w:p w14:paraId="565C360F" w14:textId="77777777" w:rsidR="00C46DB0" w:rsidRPr="00FA479D" w:rsidRDefault="00C46DB0" w:rsidP="00EC10C5">
      <w:pPr>
        <w:numPr>
          <w:ilvl w:val="0"/>
          <w:numId w:val="17"/>
        </w:numPr>
        <w:tabs>
          <w:tab w:val="num" w:pos="1080"/>
        </w:tabs>
        <w:spacing w:after="60" w:line="240" w:lineRule="auto"/>
        <w:ind w:left="567" w:firstLine="709"/>
        <w:jc w:val="both"/>
        <w:rPr>
          <w:rFonts w:ascii="Times New Roman" w:hAnsi="Times New Roman" w:cs="Times New Roman"/>
          <w:sz w:val="24"/>
          <w:szCs w:val="24"/>
        </w:rPr>
      </w:pPr>
      <w:r w:rsidRPr="00FA479D">
        <w:rPr>
          <w:rFonts w:ascii="Times New Roman" w:hAnsi="Times New Roman" w:cs="Times New Roman"/>
          <w:b/>
          <w:sz w:val="24"/>
          <w:szCs w:val="24"/>
        </w:rPr>
        <w:t xml:space="preserve">Ignoráló – </w:t>
      </w:r>
      <w:r w:rsidRPr="00FA479D">
        <w:rPr>
          <w:rFonts w:ascii="Times New Roman" w:hAnsi="Times New Roman" w:cs="Times New Roman"/>
          <w:sz w:val="24"/>
          <w:szCs w:val="24"/>
        </w:rPr>
        <w:t>Nem reagálnak és nem alkalmazkodnak a környezeti változásokhoz</w:t>
      </w:r>
    </w:p>
    <w:p w14:paraId="2A92D21D" w14:textId="77777777" w:rsidR="00C46DB0" w:rsidRPr="00FA479D" w:rsidRDefault="00C46DB0" w:rsidP="00EC10C5">
      <w:pPr>
        <w:numPr>
          <w:ilvl w:val="0"/>
          <w:numId w:val="17"/>
        </w:numPr>
        <w:tabs>
          <w:tab w:val="num" w:pos="1080"/>
        </w:tabs>
        <w:spacing w:after="60" w:line="240" w:lineRule="auto"/>
        <w:ind w:left="567" w:firstLine="709"/>
        <w:jc w:val="both"/>
        <w:rPr>
          <w:rFonts w:ascii="Times New Roman" w:hAnsi="Times New Roman" w:cs="Times New Roman"/>
          <w:sz w:val="24"/>
          <w:szCs w:val="24"/>
        </w:rPr>
      </w:pPr>
      <w:r w:rsidRPr="00FA479D">
        <w:rPr>
          <w:rFonts w:ascii="Times New Roman" w:hAnsi="Times New Roman" w:cs="Times New Roman"/>
          <w:b/>
          <w:sz w:val="24"/>
          <w:szCs w:val="24"/>
        </w:rPr>
        <w:t xml:space="preserve">Késve reagáló </w:t>
      </w:r>
      <w:r w:rsidRPr="00FA479D">
        <w:rPr>
          <w:rFonts w:ascii="Times New Roman" w:hAnsi="Times New Roman" w:cs="Times New Roman"/>
          <w:sz w:val="24"/>
          <w:szCs w:val="24"/>
        </w:rPr>
        <w:t>– ebben az esetben a vállalat már csak akkor reagál, amikor teljes mértékben megértette a tényezőt. Ennek lehet oka a vállalat bürokratikus döntési folyamata, vagy a korábban említett marketing rövidlátás.</w:t>
      </w:r>
    </w:p>
    <w:p w14:paraId="5D937541" w14:textId="77777777" w:rsidR="00C46DB0" w:rsidRPr="00FA479D" w:rsidRDefault="00C46DB0" w:rsidP="00EC10C5">
      <w:pPr>
        <w:numPr>
          <w:ilvl w:val="0"/>
          <w:numId w:val="17"/>
        </w:numPr>
        <w:tabs>
          <w:tab w:val="num" w:pos="1080"/>
        </w:tabs>
        <w:spacing w:after="60" w:line="240" w:lineRule="auto"/>
        <w:ind w:left="567" w:firstLine="709"/>
        <w:jc w:val="both"/>
        <w:rPr>
          <w:rFonts w:ascii="Times New Roman" w:hAnsi="Times New Roman" w:cs="Times New Roman"/>
          <w:sz w:val="24"/>
          <w:szCs w:val="24"/>
        </w:rPr>
      </w:pPr>
      <w:r w:rsidRPr="00FA479D">
        <w:rPr>
          <w:rFonts w:ascii="Times New Roman" w:hAnsi="Times New Roman" w:cs="Times New Roman"/>
          <w:b/>
          <w:sz w:val="24"/>
          <w:szCs w:val="24"/>
        </w:rPr>
        <w:t xml:space="preserve">Fokozatos stratégiai </w:t>
      </w:r>
      <w:proofErr w:type="spellStart"/>
      <w:r w:rsidRPr="00FA479D">
        <w:rPr>
          <w:rFonts w:ascii="Times New Roman" w:hAnsi="Times New Roman" w:cs="Times New Roman"/>
          <w:b/>
          <w:sz w:val="24"/>
          <w:szCs w:val="24"/>
        </w:rPr>
        <w:t>újrapozícionálás</w:t>
      </w:r>
      <w:proofErr w:type="spellEnd"/>
      <w:r w:rsidRPr="00FA479D">
        <w:rPr>
          <w:rFonts w:ascii="Times New Roman" w:hAnsi="Times New Roman" w:cs="Times New Roman"/>
          <w:b/>
          <w:sz w:val="24"/>
          <w:szCs w:val="24"/>
        </w:rPr>
        <w:t xml:space="preserve"> </w:t>
      </w:r>
      <w:r w:rsidRPr="00FA479D">
        <w:rPr>
          <w:rFonts w:ascii="Times New Roman" w:hAnsi="Times New Roman" w:cs="Times New Roman"/>
          <w:sz w:val="24"/>
          <w:szCs w:val="24"/>
        </w:rPr>
        <w:t>– tervezett, fokozatos, és folyamatos adaptálódás a környezeti változásokhoz.</w:t>
      </w:r>
    </w:p>
    <w:p w14:paraId="7D062CD4" w14:textId="77777777" w:rsidR="00C46DB0" w:rsidRPr="00FA479D" w:rsidRDefault="00C46DB0" w:rsidP="00EC10C5">
      <w:pPr>
        <w:numPr>
          <w:ilvl w:val="0"/>
          <w:numId w:val="17"/>
        </w:numPr>
        <w:tabs>
          <w:tab w:val="num" w:pos="1080"/>
        </w:tabs>
        <w:spacing w:after="60" w:line="240" w:lineRule="auto"/>
        <w:ind w:left="567" w:firstLine="709"/>
        <w:jc w:val="both"/>
        <w:rPr>
          <w:rFonts w:ascii="Times New Roman" w:hAnsi="Times New Roman" w:cs="Times New Roman"/>
          <w:sz w:val="24"/>
          <w:szCs w:val="24"/>
        </w:rPr>
      </w:pPr>
      <w:r w:rsidRPr="00FA479D">
        <w:rPr>
          <w:rFonts w:ascii="Times New Roman" w:hAnsi="Times New Roman" w:cs="Times New Roman"/>
          <w:b/>
          <w:sz w:val="24"/>
          <w:szCs w:val="24"/>
        </w:rPr>
        <w:t xml:space="preserve">Radikális stratégiai </w:t>
      </w:r>
      <w:proofErr w:type="spellStart"/>
      <w:r w:rsidRPr="00FA479D">
        <w:rPr>
          <w:rFonts w:ascii="Times New Roman" w:hAnsi="Times New Roman" w:cs="Times New Roman"/>
          <w:b/>
          <w:sz w:val="24"/>
          <w:szCs w:val="24"/>
        </w:rPr>
        <w:t>újrapozícionálás</w:t>
      </w:r>
      <w:proofErr w:type="spellEnd"/>
      <w:r w:rsidRPr="00FA479D">
        <w:rPr>
          <w:rFonts w:ascii="Times New Roman" w:hAnsi="Times New Roman" w:cs="Times New Roman"/>
          <w:b/>
          <w:sz w:val="24"/>
          <w:szCs w:val="24"/>
        </w:rPr>
        <w:t xml:space="preserve"> – </w:t>
      </w:r>
      <w:r w:rsidRPr="00FA479D">
        <w:rPr>
          <w:rFonts w:ascii="Times New Roman" w:hAnsi="Times New Roman" w:cs="Times New Roman"/>
          <w:sz w:val="24"/>
          <w:szCs w:val="24"/>
        </w:rPr>
        <w:t xml:space="preserve">a teljes üzletág radikális irányváltása a környezeti  </w:t>
      </w:r>
    </w:p>
    <w:p w14:paraId="70F2C8A2" w14:textId="77777777" w:rsidR="00C46DB0" w:rsidRPr="00FA479D" w:rsidRDefault="00C46DB0" w:rsidP="00EC10C5">
      <w:pPr>
        <w:numPr>
          <w:ilvl w:val="0"/>
          <w:numId w:val="17"/>
        </w:numPr>
        <w:tabs>
          <w:tab w:val="num" w:pos="1080"/>
        </w:tabs>
        <w:spacing w:after="60" w:line="240" w:lineRule="auto"/>
        <w:ind w:left="567" w:firstLine="709"/>
        <w:jc w:val="both"/>
        <w:rPr>
          <w:rFonts w:ascii="Times New Roman" w:hAnsi="Times New Roman" w:cs="Times New Roman"/>
          <w:sz w:val="24"/>
          <w:szCs w:val="24"/>
        </w:rPr>
      </w:pPr>
      <w:r w:rsidRPr="00FA479D">
        <w:rPr>
          <w:rFonts w:ascii="Times New Roman" w:hAnsi="Times New Roman" w:cs="Times New Roman"/>
          <w:b/>
          <w:sz w:val="24"/>
          <w:szCs w:val="24"/>
        </w:rPr>
        <w:t>Proaktív</w:t>
      </w:r>
      <w:r w:rsidRPr="00FA479D">
        <w:rPr>
          <w:rFonts w:ascii="Times New Roman" w:hAnsi="Times New Roman" w:cs="Times New Roman"/>
          <w:sz w:val="24"/>
          <w:szCs w:val="24"/>
        </w:rPr>
        <w:t xml:space="preserve"> - Agresszív lépéseket tesz a környezet befolyásolására</w:t>
      </w:r>
    </w:p>
    <w:p w14:paraId="2D07E65D" w14:textId="77777777" w:rsidR="00C46DB0"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lastRenderedPageBreak/>
        <w:t>Ez a fejezet a vállalatra ható két legfontosabb marketing környezeti tényezőt mutatta be: a mikrokörnyezetet és a makrakörnyezetet. A vállalat (üzletág) teljesítménye visszaeshet, ha a vállalat nem reagál megfelelő módon a környezeti tényezők változásaira.</w:t>
      </w:r>
    </w:p>
    <w:p w14:paraId="231D4CD6" w14:textId="77777777" w:rsidR="0001325B" w:rsidRPr="00CB0A5E" w:rsidRDefault="0001325B" w:rsidP="00EC10C5">
      <w:pPr>
        <w:spacing w:after="60" w:line="240" w:lineRule="auto"/>
        <w:ind w:firstLine="709"/>
        <w:jc w:val="both"/>
        <w:rPr>
          <w:rFonts w:ascii="Times New Roman" w:hAnsi="Times New Roman" w:cs="Times New Roman"/>
          <w:sz w:val="24"/>
          <w:szCs w:val="24"/>
        </w:rPr>
      </w:pPr>
    </w:p>
    <w:p w14:paraId="3619796C" w14:textId="77777777" w:rsidR="00C46DB0" w:rsidRPr="00FA479D" w:rsidRDefault="009D6142" w:rsidP="00EC10C5">
      <w:pPr>
        <w:pStyle w:val="Cmsor2"/>
        <w:numPr>
          <w:ilvl w:val="1"/>
          <w:numId w:val="8"/>
        </w:numPr>
        <w:spacing w:after="60" w:line="240" w:lineRule="auto"/>
        <w:ind w:left="0" w:firstLine="709"/>
        <w:jc w:val="both"/>
        <w:rPr>
          <w:rFonts w:ascii="Times New Roman" w:hAnsi="Times New Roman" w:cs="Times New Roman"/>
          <w:b/>
          <w:sz w:val="24"/>
          <w:szCs w:val="24"/>
        </w:rPr>
      </w:pPr>
      <w:r w:rsidRPr="00CB0A5E">
        <w:rPr>
          <w:rFonts w:ascii="Times New Roman" w:hAnsi="Times New Roman" w:cs="Times New Roman"/>
          <w:sz w:val="24"/>
          <w:szCs w:val="24"/>
        </w:rPr>
        <w:t xml:space="preserve"> </w:t>
      </w:r>
      <w:bookmarkStart w:id="31" w:name="_Toc18440817"/>
      <w:r w:rsidR="008A3FDC" w:rsidRPr="00FA479D">
        <w:rPr>
          <w:rFonts w:ascii="Times New Roman" w:hAnsi="Times New Roman" w:cs="Times New Roman"/>
          <w:b/>
          <w:sz w:val="24"/>
          <w:szCs w:val="24"/>
        </w:rPr>
        <w:t>A marketinginformációs rendszer és marketingkutatás</w:t>
      </w:r>
      <w:bookmarkEnd w:id="31"/>
    </w:p>
    <w:p w14:paraId="0A53E93F" w14:textId="77777777" w:rsidR="00C46DB0" w:rsidRPr="00CB0A5E" w:rsidRDefault="00C46DB0" w:rsidP="00EC10C5">
      <w:pPr>
        <w:pStyle w:val="Stlus1"/>
      </w:pPr>
      <w:bookmarkStart w:id="32" w:name="_Toc1568857"/>
      <w:bookmarkStart w:id="33" w:name="_Toc18440818"/>
      <w:r w:rsidRPr="00CB0A5E">
        <w:t>A marketinginformációs rendszer</w:t>
      </w:r>
      <w:bookmarkEnd w:id="32"/>
      <w:bookmarkEnd w:id="33"/>
      <w:r w:rsidR="008A3FDC" w:rsidRPr="00CB0A5E">
        <w:t xml:space="preserve"> </w:t>
      </w:r>
    </w:p>
    <w:p w14:paraId="5027D487"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A marketinginformáció-rendszer (MIR) emberek, berendezések és eljárások összessége, amelyek összegyűjtik, rendszerezik, elemzik, értékelik és eljuttatják a szükséges, időszerű és pontos információkat a marketing döntéshozóihoz. A cégen belüli nyilvántartásra, marketingmegfigyelésre és marketingkutatásra épül. (</w:t>
      </w:r>
      <w:proofErr w:type="spellStart"/>
      <w:r w:rsidRPr="00CB0A5E">
        <w:rPr>
          <w:rFonts w:ascii="Times New Roman" w:hAnsi="Times New Roman" w:cs="Times New Roman"/>
          <w:sz w:val="24"/>
          <w:szCs w:val="24"/>
        </w:rPr>
        <w:t>Kotler</w:t>
      </w:r>
      <w:proofErr w:type="spellEnd"/>
      <w:r w:rsidRPr="00CB0A5E">
        <w:rPr>
          <w:rFonts w:ascii="Times New Roman" w:hAnsi="Times New Roman" w:cs="Times New Roman"/>
          <w:sz w:val="24"/>
          <w:szCs w:val="24"/>
        </w:rPr>
        <w:t>- Keller, 2012)</w:t>
      </w:r>
    </w:p>
    <w:p w14:paraId="23111331"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Olyan rendszer, amelyben a marketinginformációkat rendszeresen tervezett alapon összegyűjtik, tárolják, elemzik és elküldik a menedzsereknek azok információigényeinek megfelelően. (</w:t>
      </w:r>
      <w:proofErr w:type="spellStart"/>
      <w:r w:rsidRPr="00CB0A5E">
        <w:rPr>
          <w:rFonts w:ascii="Times New Roman" w:hAnsi="Times New Roman" w:cs="Times New Roman"/>
          <w:sz w:val="24"/>
          <w:szCs w:val="24"/>
        </w:rPr>
        <w:t>Jobber</w:t>
      </w:r>
      <w:proofErr w:type="spellEnd"/>
      <w:r w:rsidRPr="00CB0A5E">
        <w:rPr>
          <w:rFonts w:ascii="Times New Roman" w:hAnsi="Times New Roman" w:cs="Times New Roman"/>
          <w:sz w:val="24"/>
          <w:szCs w:val="24"/>
        </w:rPr>
        <w:t>, 2016)</w:t>
      </w:r>
    </w:p>
    <w:p w14:paraId="6119F19A" w14:textId="77777777" w:rsidR="00C46DB0" w:rsidRPr="00CB0A5E" w:rsidRDefault="00C46DB0" w:rsidP="00EC10C5">
      <w:pPr>
        <w:spacing w:after="60" w:line="240" w:lineRule="auto"/>
        <w:ind w:firstLine="709"/>
        <w:jc w:val="both"/>
        <w:rPr>
          <w:rFonts w:ascii="Times New Roman" w:hAnsi="Times New Roman" w:cs="Times New Roman"/>
          <w:sz w:val="24"/>
          <w:szCs w:val="24"/>
        </w:rPr>
      </w:pPr>
    </w:p>
    <w:p w14:paraId="3B5680A1" w14:textId="77777777" w:rsidR="00C46DB0"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r w:rsidRPr="0001325B">
        <w:rPr>
          <w:rFonts w:ascii="Times New Roman" w:hAnsi="Times New Roman" w:cs="Times New Roman"/>
          <w:b/>
          <w:i w:val="0"/>
          <w:color w:val="000000" w:themeColor="text1"/>
          <w:sz w:val="24"/>
          <w:szCs w:val="24"/>
        </w:rPr>
        <w:t>9</w:t>
      </w:r>
      <w:r w:rsidR="00C46DB0" w:rsidRPr="0001325B">
        <w:rPr>
          <w:rFonts w:ascii="Times New Roman" w:hAnsi="Times New Roman" w:cs="Times New Roman"/>
          <w:b/>
          <w:i w:val="0"/>
          <w:color w:val="000000" w:themeColor="text1"/>
          <w:sz w:val="24"/>
          <w:szCs w:val="24"/>
        </w:rPr>
        <w:t>. ábra A marketing információs rendszer</w:t>
      </w:r>
    </w:p>
    <w:p w14:paraId="0091789C"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6E807182" wp14:editId="0361128F">
            <wp:extent cx="5400000" cy="20844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2084400"/>
                    </a:xfrm>
                    <a:prstGeom prst="rect">
                      <a:avLst/>
                    </a:prstGeom>
                    <a:noFill/>
                  </pic:spPr>
                </pic:pic>
              </a:graphicData>
            </a:graphic>
          </wp:inline>
        </w:drawing>
      </w:r>
    </w:p>
    <w:p w14:paraId="67CC9D29" w14:textId="77777777" w:rsidR="00C46DB0" w:rsidRPr="00CB0A5E" w:rsidRDefault="00C46DB0"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2FB61958" w14:textId="77777777" w:rsidR="00C46DB0" w:rsidRPr="00CB0A5E" w:rsidRDefault="00C46DB0" w:rsidP="00EC10C5">
      <w:pPr>
        <w:spacing w:after="60" w:line="240" w:lineRule="auto"/>
        <w:ind w:firstLine="709"/>
        <w:jc w:val="both"/>
        <w:rPr>
          <w:rFonts w:ascii="Times New Roman" w:hAnsi="Times New Roman" w:cs="Times New Roman"/>
          <w:b/>
          <w:bCs/>
          <w:noProof/>
          <w:sz w:val="24"/>
          <w:szCs w:val="24"/>
          <w:lang w:eastAsia="hu-HU"/>
        </w:rPr>
      </w:pPr>
    </w:p>
    <w:p w14:paraId="77F7160A" w14:textId="77777777" w:rsidR="00C46DB0" w:rsidRPr="00CB0A5E" w:rsidRDefault="00C46DB0" w:rsidP="00EC10C5">
      <w:pPr>
        <w:spacing w:after="60" w:line="240" w:lineRule="auto"/>
        <w:ind w:firstLine="709"/>
        <w:jc w:val="both"/>
        <w:rPr>
          <w:rFonts w:ascii="Times New Roman" w:hAnsi="Times New Roman" w:cs="Times New Roman"/>
          <w:noProof/>
          <w:sz w:val="24"/>
          <w:szCs w:val="24"/>
          <w:lang w:eastAsia="hu-HU"/>
        </w:rPr>
      </w:pPr>
      <w:r w:rsidRPr="00CB0A5E">
        <w:rPr>
          <w:rFonts w:ascii="Times New Roman" w:hAnsi="Times New Roman" w:cs="Times New Roman"/>
          <w:b/>
          <w:bCs/>
          <w:noProof/>
          <w:sz w:val="24"/>
          <w:szCs w:val="24"/>
          <w:lang w:eastAsia="hu-HU"/>
        </w:rPr>
        <w:t xml:space="preserve">Belső nyilvántartások </w:t>
      </w:r>
    </w:p>
    <w:p w14:paraId="5D156C00" w14:textId="77777777" w:rsidR="00C46DB0" w:rsidRPr="00CB0A5E" w:rsidRDefault="00C46DB0" w:rsidP="00EC10C5">
      <w:pPr>
        <w:numPr>
          <w:ilvl w:val="0"/>
          <w:numId w:val="1"/>
        </w:numPr>
        <w:spacing w:after="60" w:line="240" w:lineRule="auto"/>
        <w:ind w:firstLine="556"/>
        <w:jc w:val="both"/>
        <w:rPr>
          <w:rFonts w:ascii="Times New Roman" w:hAnsi="Times New Roman" w:cs="Times New Roman"/>
          <w:noProof/>
          <w:sz w:val="24"/>
          <w:szCs w:val="24"/>
          <w:lang w:eastAsia="hu-HU"/>
        </w:rPr>
      </w:pPr>
      <w:r w:rsidRPr="00CB0A5E">
        <w:rPr>
          <w:rFonts w:ascii="Times New Roman" w:hAnsi="Times New Roman" w:cs="Times New Roman"/>
          <w:noProof/>
          <w:sz w:val="24"/>
          <w:szCs w:val="24"/>
          <w:lang w:eastAsia="hu-HU"/>
        </w:rPr>
        <w:t xml:space="preserve">A belső nyilvántartások a vállalati háózatban fellelhető fogyasztói és piaci adatok összegyűjtött adatbázisa. Pl. nyilvántartás </w:t>
      </w:r>
      <w:r w:rsidRPr="00CB0A5E">
        <w:rPr>
          <w:rFonts w:ascii="Times New Roman" w:hAnsi="Times New Roman" w:cs="Times New Roman"/>
          <w:iCs/>
          <w:noProof/>
          <w:sz w:val="24"/>
          <w:szCs w:val="24"/>
          <w:lang w:eastAsia="hu-HU"/>
        </w:rPr>
        <w:t>a megrendelésekről, a bolti és az onlione eladásokról, az árakról, a költségekről, a készletekről, weboldal látogatottságról, a tartozásokról, fogyasztói visszajelzésekről.</w:t>
      </w:r>
    </w:p>
    <w:p w14:paraId="19DD2B45" w14:textId="77777777" w:rsidR="00C46DB0" w:rsidRPr="00CB0A5E" w:rsidRDefault="00C46DB0" w:rsidP="00EC10C5">
      <w:pPr>
        <w:spacing w:after="60" w:line="240" w:lineRule="auto"/>
        <w:ind w:firstLine="709"/>
        <w:jc w:val="both"/>
        <w:rPr>
          <w:rFonts w:ascii="Times New Roman" w:hAnsi="Times New Roman" w:cs="Times New Roman"/>
          <w:noProof/>
          <w:sz w:val="24"/>
          <w:szCs w:val="24"/>
          <w:lang w:eastAsia="hu-HU"/>
        </w:rPr>
      </w:pPr>
      <w:r w:rsidRPr="00CB0A5E">
        <w:rPr>
          <w:rFonts w:ascii="Times New Roman" w:hAnsi="Times New Roman" w:cs="Times New Roman"/>
          <w:b/>
          <w:bCs/>
          <w:noProof/>
          <w:sz w:val="24"/>
          <w:szCs w:val="24"/>
          <w:lang w:eastAsia="hu-HU"/>
        </w:rPr>
        <w:t xml:space="preserve">A marketingmegfigyelési rendszer </w:t>
      </w:r>
    </w:p>
    <w:p w14:paraId="54D1C5CA" w14:textId="77777777" w:rsidR="00C46DB0" w:rsidRPr="00CB0A5E" w:rsidRDefault="00C46DB0" w:rsidP="00EC10C5">
      <w:pPr>
        <w:numPr>
          <w:ilvl w:val="0"/>
          <w:numId w:val="1"/>
        </w:numPr>
        <w:spacing w:after="60" w:line="240" w:lineRule="auto"/>
        <w:ind w:firstLine="556"/>
        <w:jc w:val="both"/>
        <w:rPr>
          <w:rFonts w:ascii="Times New Roman" w:hAnsi="Times New Roman" w:cs="Times New Roman"/>
          <w:noProof/>
          <w:sz w:val="24"/>
          <w:szCs w:val="24"/>
          <w:lang w:eastAsia="hu-HU"/>
        </w:rPr>
      </w:pPr>
      <w:r w:rsidRPr="00CB0A5E">
        <w:rPr>
          <w:rFonts w:ascii="Times New Roman" w:hAnsi="Times New Roman" w:cs="Times New Roman"/>
          <w:noProof/>
          <w:sz w:val="24"/>
          <w:szCs w:val="24"/>
          <w:lang w:eastAsia="hu-HU"/>
        </w:rPr>
        <w:t>folyamatok és források összessége, amelyeket a vállalat a fogyasztókról, versenytársakról, piaci környezetről nyilvánosan eléárhető adatok alapján rendszeresen gyűjt, ellenőriz és feldolgoz.</w:t>
      </w:r>
    </w:p>
    <w:p w14:paraId="0E9DBA6A" w14:textId="77777777" w:rsidR="00C46DB0" w:rsidRPr="00CB0A5E" w:rsidRDefault="00C46DB0" w:rsidP="00EC10C5">
      <w:pPr>
        <w:spacing w:after="60" w:line="240" w:lineRule="auto"/>
        <w:ind w:firstLine="709"/>
        <w:jc w:val="both"/>
        <w:rPr>
          <w:rFonts w:ascii="Times New Roman" w:hAnsi="Times New Roman" w:cs="Times New Roman"/>
          <w:noProof/>
          <w:sz w:val="24"/>
          <w:szCs w:val="24"/>
          <w:lang w:eastAsia="hu-HU"/>
        </w:rPr>
      </w:pPr>
      <w:r w:rsidRPr="00CB0A5E">
        <w:rPr>
          <w:rFonts w:ascii="Times New Roman" w:hAnsi="Times New Roman" w:cs="Times New Roman"/>
          <w:noProof/>
          <w:sz w:val="24"/>
          <w:szCs w:val="24"/>
          <w:lang w:eastAsia="hu-HU"/>
        </w:rPr>
        <w:t xml:space="preserve">A belső nyilvántartási rendszer </w:t>
      </w:r>
      <w:r w:rsidRPr="00CB0A5E">
        <w:rPr>
          <w:rFonts w:ascii="Times New Roman" w:hAnsi="Times New Roman" w:cs="Times New Roman"/>
          <w:b/>
          <w:bCs/>
          <w:noProof/>
          <w:sz w:val="24"/>
          <w:szCs w:val="24"/>
          <w:lang w:eastAsia="hu-HU"/>
        </w:rPr>
        <w:t>eredményadatokat</w:t>
      </w:r>
      <w:r w:rsidRPr="00CB0A5E">
        <w:rPr>
          <w:rFonts w:ascii="Times New Roman" w:hAnsi="Times New Roman" w:cs="Times New Roman"/>
          <w:noProof/>
          <w:sz w:val="24"/>
          <w:szCs w:val="24"/>
          <w:lang w:eastAsia="hu-HU"/>
        </w:rPr>
        <w:t xml:space="preserve">, a marketingmegfigyelési rendszer pedig </w:t>
      </w:r>
      <w:r w:rsidRPr="00CB0A5E">
        <w:rPr>
          <w:rFonts w:ascii="Times New Roman" w:hAnsi="Times New Roman" w:cs="Times New Roman"/>
          <w:b/>
          <w:bCs/>
          <w:noProof/>
          <w:sz w:val="24"/>
          <w:szCs w:val="24"/>
          <w:lang w:eastAsia="hu-HU"/>
        </w:rPr>
        <w:t>eseményadatokat</w:t>
      </w:r>
      <w:r w:rsidRPr="00CB0A5E">
        <w:rPr>
          <w:rFonts w:ascii="Times New Roman" w:hAnsi="Times New Roman" w:cs="Times New Roman"/>
          <w:noProof/>
          <w:sz w:val="24"/>
          <w:szCs w:val="24"/>
          <w:lang w:eastAsia="hu-HU"/>
        </w:rPr>
        <w:t xml:space="preserve"> szolgáltat.</w:t>
      </w:r>
    </w:p>
    <w:p w14:paraId="54053ACA" w14:textId="77777777" w:rsidR="00C46DB0" w:rsidRPr="00CB0A5E" w:rsidRDefault="00C46DB0" w:rsidP="00EC10C5">
      <w:pPr>
        <w:pStyle w:val="Stlus1"/>
        <w:rPr>
          <w:noProof/>
          <w:lang w:eastAsia="hu-HU"/>
        </w:rPr>
      </w:pPr>
      <w:bookmarkStart w:id="34" w:name="_Toc1568858"/>
      <w:bookmarkStart w:id="35" w:name="_Toc18440819"/>
      <w:r w:rsidRPr="00CB0A5E">
        <w:rPr>
          <w:noProof/>
          <w:lang w:eastAsia="hu-HU"/>
        </w:rPr>
        <w:t>Marketingkutatás</w:t>
      </w:r>
      <w:bookmarkEnd w:id="34"/>
      <w:bookmarkEnd w:id="35"/>
    </w:p>
    <w:p w14:paraId="67AD3FC1"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marketingkutatáson az információk szisztematikus és objektív feltárását, összegyűjtését, elemzését, közlését, valamint felhasználását értjük. A marketingkutatás célja a marketingtevékenység során felmerülő problémák és lehetőségek megoldására irányuló vezetői döntés elősegítése. </w:t>
      </w:r>
    </w:p>
    <w:p w14:paraId="7C73D049"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lastRenderedPageBreak/>
        <w:t xml:space="preserve">A felmerülő marketingprobléma, vagy kutatási kérdés meghatározza, hogy milyen kutatásra van szükség. A kutatás célja alapján három alapvető kutatási típust különböztetünk meg: </w:t>
      </w:r>
    </w:p>
    <w:p w14:paraId="020A866C" w14:textId="77777777" w:rsidR="00C46DB0" w:rsidRPr="00CB0A5E" w:rsidRDefault="00C46DB0" w:rsidP="00EC10C5">
      <w:pPr>
        <w:pStyle w:val="Listaszerbekezds"/>
        <w:numPr>
          <w:ilvl w:val="0"/>
          <w:numId w:val="18"/>
        </w:numPr>
        <w:spacing w:after="60" w:line="240" w:lineRule="auto"/>
        <w:ind w:left="567" w:firstLine="709"/>
        <w:rPr>
          <w:rFonts w:cs="Times New Roman"/>
          <w:szCs w:val="24"/>
        </w:rPr>
      </w:pPr>
      <w:r w:rsidRPr="00CB0A5E">
        <w:rPr>
          <w:rFonts w:cs="Times New Roman"/>
          <w:b/>
          <w:szCs w:val="24"/>
        </w:rPr>
        <w:t>feltáró kutatás</w:t>
      </w:r>
      <w:r w:rsidRPr="00CB0A5E">
        <w:rPr>
          <w:rFonts w:cs="Times New Roman"/>
          <w:szCs w:val="24"/>
        </w:rPr>
        <w:t xml:space="preserve"> – melynek célja valamilyen probléma mögötti okok feltárása, megismerése, döntési alternatívák feltárása, fogyasztói motivációk, preferenciák megismerése. A feltáró kutatási probléma esetén jellemzően kvalitatív technikákat használunk. </w:t>
      </w:r>
    </w:p>
    <w:p w14:paraId="68D3811F" w14:textId="77777777" w:rsidR="00C46DB0" w:rsidRPr="00CB0A5E" w:rsidRDefault="00C46DB0" w:rsidP="00EC10C5">
      <w:pPr>
        <w:pStyle w:val="Listaszerbekezds"/>
        <w:numPr>
          <w:ilvl w:val="0"/>
          <w:numId w:val="18"/>
        </w:numPr>
        <w:spacing w:after="60" w:line="240" w:lineRule="auto"/>
        <w:ind w:left="567" w:firstLine="709"/>
        <w:rPr>
          <w:rFonts w:cs="Times New Roman"/>
          <w:szCs w:val="24"/>
        </w:rPr>
      </w:pPr>
      <w:r w:rsidRPr="00CB0A5E">
        <w:rPr>
          <w:rFonts w:cs="Times New Roman"/>
          <w:b/>
          <w:szCs w:val="24"/>
        </w:rPr>
        <w:t>leíró kutatás</w:t>
      </w:r>
      <w:r w:rsidRPr="00CB0A5E">
        <w:rPr>
          <w:rFonts w:cs="Times New Roman"/>
          <w:szCs w:val="24"/>
        </w:rPr>
        <w:t xml:space="preserve"> – amennyiben a kutatás célja a piaci helyzet, szituáció, fogyasztói csoport jellemzőinek leírása, leíró kutatást végzünk. Általában megkérdezéses és megfigyeléses technikákat alkalmazunk.</w:t>
      </w:r>
    </w:p>
    <w:p w14:paraId="150D82B2" w14:textId="77777777" w:rsidR="00C46DB0" w:rsidRPr="00CB0A5E" w:rsidRDefault="00C46DB0" w:rsidP="00EC10C5">
      <w:pPr>
        <w:pStyle w:val="Listaszerbekezds"/>
        <w:numPr>
          <w:ilvl w:val="0"/>
          <w:numId w:val="18"/>
        </w:numPr>
        <w:spacing w:after="60" w:line="240" w:lineRule="auto"/>
        <w:ind w:left="567" w:firstLine="709"/>
        <w:rPr>
          <w:rFonts w:cs="Times New Roman"/>
          <w:szCs w:val="24"/>
        </w:rPr>
      </w:pPr>
      <w:r w:rsidRPr="00CB0A5E">
        <w:rPr>
          <w:rFonts w:cs="Times New Roman"/>
          <w:b/>
          <w:szCs w:val="24"/>
        </w:rPr>
        <w:t>magyarázó kutatás</w:t>
      </w:r>
      <w:r w:rsidRPr="00CB0A5E">
        <w:rPr>
          <w:rFonts w:cs="Times New Roman"/>
          <w:szCs w:val="24"/>
        </w:rPr>
        <w:t xml:space="preserve"> – marketingváltozók közötti kapcsolat meghatározására, ok-okozati összefüggések feltárására magyarázó kutatást végzünk. Ilyen kutatási módszer a kísérlet. </w:t>
      </w:r>
    </w:p>
    <w:p w14:paraId="425B9784"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adatok két típusát különböztetjük meg: szekunder és primer adatok. A szekunder adatok olyan adatok, amelyet eredetileg más célból gyűjtöttek, a primer adatokat elsődlegesen a vállalat kutatási problémájának megválaszolása céljából gyűjtöttek. </w:t>
      </w:r>
    </w:p>
    <w:p w14:paraId="4ED08D47"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kutatást első lépésben a meglévő szekunder adatok feldolgozásával kezdjük. Ezek az adatok már rendelkezésre állnak készen, vagy félig feldolgozott formában. Ilyen adatok lehetnek korábbi piackutatások eredményei, iparági jelentések, vállalaton belüli adatok (pl. értékesítési adatok, reklamációk száma), de külső forrásból elérhető tanulmányok, jelentések, </w:t>
      </w:r>
      <w:proofErr w:type="spellStart"/>
      <w:r w:rsidRPr="00CB0A5E">
        <w:rPr>
          <w:rFonts w:ascii="Times New Roman" w:hAnsi="Times New Roman" w:cs="Times New Roman"/>
          <w:sz w:val="24"/>
          <w:szCs w:val="24"/>
        </w:rPr>
        <w:t>szindikált</w:t>
      </w:r>
      <w:proofErr w:type="spellEnd"/>
      <w:r w:rsidRPr="00CB0A5E">
        <w:rPr>
          <w:rFonts w:ascii="Times New Roman" w:hAnsi="Times New Roman" w:cs="Times New Roman"/>
          <w:sz w:val="24"/>
          <w:szCs w:val="24"/>
        </w:rPr>
        <w:t xml:space="preserve"> adatbázisok is ide tartoznak. A szekunder adatok használatának előnye, hogy gyorsan elérhető, olcsóbb, mint a primer adat és sokszor ez az egyetlen lehetőség, hogy adathoz jussunk. Használatának hátránya, hogy nem biztos, hogy az adatok elég pontosak, frissek, azonos célcsoportra készültek. Az adatok megbízhatósága is sokszor kérdéses lehet.</w:t>
      </w:r>
    </w:p>
    <w:p w14:paraId="31C8ACF8"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Amennyiben a szekunder adatok nem adnak választ a kutatási kérdésünkre, primer kutatást kell végezni. </w:t>
      </w:r>
    </w:p>
    <w:p w14:paraId="7AA06734" w14:textId="77777777" w:rsidR="00C46DB0" w:rsidRPr="00CB0A5E" w:rsidRDefault="00C46DB0"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A primer kutatás folyamata a következő:</w:t>
      </w:r>
    </w:p>
    <w:p w14:paraId="76A4302C"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r w:rsidRPr="00CB0A5E">
        <w:rPr>
          <w:rFonts w:cs="Times New Roman"/>
          <w:szCs w:val="24"/>
        </w:rPr>
        <w:t>Kutatási probléma meghatározása</w:t>
      </w:r>
    </w:p>
    <w:p w14:paraId="13D8F29C"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proofErr w:type="spellStart"/>
      <w:r w:rsidRPr="00CB0A5E">
        <w:rPr>
          <w:rFonts w:cs="Times New Roman"/>
          <w:szCs w:val="24"/>
        </w:rPr>
        <w:t>Konceptualizáció</w:t>
      </w:r>
      <w:proofErr w:type="spellEnd"/>
      <w:r w:rsidRPr="00CB0A5E">
        <w:rPr>
          <w:rFonts w:cs="Times New Roman"/>
          <w:szCs w:val="24"/>
        </w:rPr>
        <w:t xml:space="preserve"> (alapfogalmak tisztázása)</w:t>
      </w:r>
    </w:p>
    <w:p w14:paraId="04E0106F"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r w:rsidRPr="00CB0A5E">
        <w:rPr>
          <w:rFonts w:cs="Times New Roman"/>
          <w:szCs w:val="24"/>
        </w:rPr>
        <w:t>A kutatási módszer kiválasztása</w:t>
      </w:r>
    </w:p>
    <w:p w14:paraId="22E329EC"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r w:rsidRPr="00CB0A5E">
        <w:rPr>
          <w:rFonts w:cs="Times New Roman"/>
          <w:szCs w:val="24"/>
        </w:rPr>
        <w:t>A mintavételi módszer meghatározása</w:t>
      </w:r>
    </w:p>
    <w:p w14:paraId="7FCC1407"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proofErr w:type="spellStart"/>
      <w:r w:rsidRPr="00CB0A5E">
        <w:rPr>
          <w:rFonts w:cs="Times New Roman"/>
          <w:szCs w:val="24"/>
        </w:rPr>
        <w:t>Operacionalizálás</w:t>
      </w:r>
      <w:proofErr w:type="spellEnd"/>
      <w:r w:rsidRPr="00CB0A5E">
        <w:rPr>
          <w:rFonts w:cs="Times New Roman"/>
          <w:szCs w:val="24"/>
        </w:rPr>
        <w:t xml:space="preserve"> (kérdőív, </w:t>
      </w:r>
      <w:proofErr w:type="spellStart"/>
      <w:r w:rsidRPr="00CB0A5E">
        <w:rPr>
          <w:rFonts w:cs="Times New Roman"/>
          <w:szCs w:val="24"/>
        </w:rPr>
        <w:t>guide</w:t>
      </w:r>
      <w:proofErr w:type="spellEnd"/>
      <w:r w:rsidRPr="00CB0A5E">
        <w:rPr>
          <w:rFonts w:cs="Times New Roman"/>
          <w:szCs w:val="24"/>
        </w:rPr>
        <w:t xml:space="preserve"> készítése)</w:t>
      </w:r>
    </w:p>
    <w:p w14:paraId="532953D1"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r w:rsidRPr="00CB0A5E">
        <w:rPr>
          <w:rFonts w:cs="Times New Roman"/>
          <w:szCs w:val="24"/>
        </w:rPr>
        <w:t>Terepmunka (adatfelvétel)</w:t>
      </w:r>
    </w:p>
    <w:p w14:paraId="73815BC1"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r w:rsidRPr="00CB0A5E">
        <w:rPr>
          <w:rFonts w:cs="Times New Roman"/>
          <w:szCs w:val="24"/>
        </w:rPr>
        <w:t>Adatfeldolgozás, adatelemzés</w:t>
      </w:r>
    </w:p>
    <w:p w14:paraId="44A9EB5B" w14:textId="77777777" w:rsidR="00C46DB0" w:rsidRPr="00CB0A5E" w:rsidRDefault="00C46DB0" w:rsidP="00EC10C5">
      <w:pPr>
        <w:pStyle w:val="Listaszerbekezds"/>
        <w:numPr>
          <w:ilvl w:val="0"/>
          <w:numId w:val="19"/>
        </w:numPr>
        <w:spacing w:after="60" w:line="240" w:lineRule="auto"/>
        <w:ind w:left="567" w:firstLine="709"/>
        <w:rPr>
          <w:rFonts w:cs="Times New Roman"/>
          <w:szCs w:val="24"/>
        </w:rPr>
      </w:pPr>
      <w:r w:rsidRPr="00CB0A5E">
        <w:rPr>
          <w:rFonts w:cs="Times New Roman"/>
          <w:szCs w:val="24"/>
        </w:rPr>
        <w:t>Kutatási jelentés készítése</w:t>
      </w:r>
    </w:p>
    <w:p w14:paraId="45B6DFCB" w14:textId="77777777" w:rsidR="009D6142" w:rsidRPr="00CB0A5E" w:rsidRDefault="009D6142" w:rsidP="00EC10C5">
      <w:pPr>
        <w:pStyle w:val="Listaszerbekezds"/>
        <w:spacing w:after="60" w:line="240" w:lineRule="auto"/>
        <w:ind w:left="360" w:firstLine="709"/>
        <w:rPr>
          <w:rFonts w:cs="Times New Roman"/>
          <w:szCs w:val="24"/>
        </w:rPr>
      </w:pPr>
    </w:p>
    <w:p w14:paraId="13B45181" w14:textId="77777777" w:rsidR="009D6142" w:rsidRPr="00CB0A5E" w:rsidRDefault="009D6142" w:rsidP="00EC10C5">
      <w:pPr>
        <w:pStyle w:val="Stlus1"/>
      </w:pPr>
      <w:bookmarkStart w:id="36" w:name="_Toc18440820"/>
      <w:r w:rsidRPr="00CB0A5E">
        <w:t>Kvalitatív és kvantitatív kutatási módszerek</w:t>
      </w:r>
      <w:bookmarkEnd w:id="36"/>
    </w:p>
    <w:p w14:paraId="07A784C7" w14:textId="77777777" w:rsidR="003D50F2" w:rsidRPr="00CB0A5E" w:rsidRDefault="003D50F2" w:rsidP="00EC10C5">
      <w:pPr>
        <w:pStyle w:val="Listaszerbekezds"/>
        <w:spacing w:after="60" w:line="240" w:lineRule="auto"/>
        <w:ind w:left="0" w:firstLine="709"/>
        <w:rPr>
          <w:rFonts w:cs="Times New Roman"/>
          <w:szCs w:val="24"/>
        </w:rPr>
      </w:pPr>
      <w:r w:rsidRPr="00CB0A5E">
        <w:rPr>
          <w:rFonts w:cs="Times New Roman"/>
          <w:szCs w:val="24"/>
        </w:rPr>
        <w:t xml:space="preserve">A primer kutatások körében megkülönböztetjük a </w:t>
      </w:r>
      <w:r w:rsidRPr="00CB0A5E">
        <w:rPr>
          <w:rFonts w:cs="Times New Roman"/>
          <w:b/>
          <w:szCs w:val="24"/>
        </w:rPr>
        <w:t>kvalitatív és kvantitatív</w:t>
      </w:r>
      <w:r w:rsidRPr="00CB0A5E">
        <w:rPr>
          <w:rFonts w:cs="Times New Roman"/>
          <w:szCs w:val="24"/>
        </w:rPr>
        <w:t xml:space="preserve"> kutatási módszereket. A kvalitatív kutatások során elsősorban a mögöttes okok, motivációk feltárására törekedünk, kisszámú, nem reprezentatív minta alapján. Az adatgyűjtés nem strukturált, az adatelemzés jellemzően tartalomelemzéssel történik, az eredmények nem általánosíthatók a teljes célcsoportra. A leggyakrabban használt kvalitatív módszerek közé tartozik a mélyinterjú és a fókuszcsoportos megkérdezés.</w:t>
      </w:r>
    </w:p>
    <w:p w14:paraId="409D81A3" w14:textId="509E508E" w:rsidR="003D50F2" w:rsidRPr="00CB0A5E" w:rsidRDefault="003D50F2" w:rsidP="00EC10C5">
      <w:pPr>
        <w:pStyle w:val="Listaszerbekezds"/>
        <w:spacing w:after="60" w:line="240" w:lineRule="auto"/>
        <w:ind w:left="0" w:firstLine="709"/>
        <w:rPr>
          <w:rFonts w:cs="Times New Roman"/>
          <w:b/>
          <w:szCs w:val="24"/>
        </w:rPr>
      </w:pPr>
      <w:r w:rsidRPr="00CB0A5E">
        <w:rPr>
          <w:rFonts w:cs="Times New Roman"/>
          <w:szCs w:val="24"/>
        </w:rPr>
        <w:t xml:space="preserve">A kvantitatív kutatás nagyobb mintával dolgozunk, amely lehet (de nem feltétlenül az) reprezentatív valamilyen szempontok alapján az alapsokaságra. Az adatgyűjtés strukturált kérdőívvel, jegy jegyzőkönyvvel történik. Az adatok számszerűsítése, összefüggések vizsgálata a cél, az elemzés statisztikai módszerekkel történik. A kapott eredmények lehetőséget adnak </w:t>
      </w:r>
      <w:r w:rsidRPr="00CB0A5E">
        <w:rPr>
          <w:rFonts w:cs="Times New Roman"/>
          <w:szCs w:val="24"/>
        </w:rPr>
        <w:lastRenderedPageBreak/>
        <w:t xml:space="preserve">arra, hogy a vizsgált alapsokaságra vonatkozóan általános következtetéseket vonjunk le (lásd. </w:t>
      </w:r>
      <w:r w:rsidRPr="00CB0A5E">
        <w:rPr>
          <w:rFonts w:cs="Times New Roman"/>
          <w:szCs w:val="24"/>
        </w:rPr>
        <w:fldChar w:fldCharType="begin"/>
      </w:r>
      <w:r w:rsidRPr="00CB0A5E">
        <w:rPr>
          <w:rFonts w:cs="Times New Roman"/>
          <w:szCs w:val="24"/>
        </w:rPr>
        <w:instrText xml:space="preserve"> REF _Ref649153 \h  \* MERGEFORMAT </w:instrText>
      </w:r>
      <w:r w:rsidRPr="00CB0A5E">
        <w:rPr>
          <w:rFonts w:cs="Times New Roman"/>
          <w:szCs w:val="24"/>
        </w:rPr>
      </w:r>
      <w:r w:rsidRPr="00CB0A5E">
        <w:rPr>
          <w:rFonts w:cs="Times New Roman"/>
          <w:szCs w:val="24"/>
        </w:rPr>
        <w:fldChar w:fldCharType="separate"/>
      </w:r>
      <w:r w:rsidR="006C213D" w:rsidRPr="006C213D">
        <w:rPr>
          <w:rFonts w:cs="Times New Roman"/>
          <w:noProof/>
          <w:szCs w:val="24"/>
        </w:rPr>
        <w:t>10</w:t>
      </w:r>
      <w:r w:rsidR="006C213D" w:rsidRPr="006C213D">
        <w:rPr>
          <w:rFonts w:cs="Times New Roman"/>
          <w:szCs w:val="24"/>
        </w:rPr>
        <w:t>. ábra</w:t>
      </w:r>
      <w:r w:rsidRPr="00CB0A5E">
        <w:rPr>
          <w:rFonts w:cs="Times New Roman"/>
          <w:szCs w:val="24"/>
        </w:rPr>
        <w:fldChar w:fldCharType="end"/>
      </w:r>
      <w:r w:rsidRPr="00CB0A5E">
        <w:rPr>
          <w:rFonts w:cs="Times New Roman"/>
          <w:szCs w:val="24"/>
        </w:rPr>
        <w:t>.) A kvantitatív módszerek közé tartoznak a kérdőíves megkérdezések, és a kísérletek</w:t>
      </w:r>
      <w:r w:rsidRPr="00CB0A5E">
        <w:rPr>
          <w:rFonts w:cs="Times New Roman"/>
          <w:b/>
          <w:szCs w:val="24"/>
        </w:rPr>
        <w:t xml:space="preserve">. </w:t>
      </w:r>
    </w:p>
    <w:p w14:paraId="75831EA8" w14:textId="77777777" w:rsidR="003D50F2" w:rsidRDefault="003D50F2" w:rsidP="00EC10C5">
      <w:pPr>
        <w:pStyle w:val="Listaszerbekezds"/>
        <w:spacing w:after="60" w:line="240" w:lineRule="auto"/>
        <w:ind w:left="0" w:firstLine="709"/>
        <w:rPr>
          <w:rFonts w:cs="Times New Roman"/>
          <w:szCs w:val="24"/>
        </w:rPr>
      </w:pPr>
      <w:r w:rsidRPr="00CB0A5E">
        <w:rPr>
          <w:rFonts w:cs="Times New Roman"/>
          <w:szCs w:val="24"/>
        </w:rPr>
        <w:t>Vannak módszerek, amelyek kvalitatív és kvantitatív módon is elvégezhetőek – a kutatási kérdéstől függően kell eldönteni, melyik módszer a célszerű. Ilyenek a megfigyeléses módszerek, amelyek közé tartoznak például az álcázott vásárlás (</w:t>
      </w:r>
      <w:proofErr w:type="spellStart"/>
      <w:r w:rsidRPr="00CB0A5E">
        <w:rPr>
          <w:rFonts w:cs="Times New Roman"/>
          <w:szCs w:val="24"/>
        </w:rPr>
        <w:t>mystery</w:t>
      </w:r>
      <w:proofErr w:type="spellEnd"/>
      <w:r w:rsidRPr="00CB0A5E">
        <w:rPr>
          <w:rFonts w:cs="Times New Roman"/>
          <w:szCs w:val="24"/>
        </w:rPr>
        <w:t xml:space="preserve"> shopping), az etnográfiai kutatások, a </w:t>
      </w:r>
      <w:proofErr w:type="spellStart"/>
      <w:r w:rsidRPr="00CB0A5E">
        <w:rPr>
          <w:rFonts w:cs="Times New Roman"/>
          <w:szCs w:val="24"/>
        </w:rPr>
        <w:t>netnográfiai</w:t>
      </w:r>
      <w:proofErr w:type="spellEnd"/>
      <w:r w:rsidRPr="00CB0A5E">
        <w:rPr>
          <w:rFonts w:cs="Times New Roman"/>
          <w:szCs w:val="24"/>
        </w:rPr>
        <w:t xml:space="preserve"> kutatások, a szemmozgás követéses kutatások.</w:t>
      </w:r>
    </w:p>
    <w:p w14:paraId="423C0812" w14:textId="77777777" w:rsidR="0001325B" w:rsidRDefault="0001325B" w:rsidP="00EC10C5">
      <w:pPr>
        <w:pStyle w:val="Listaszerbekezds"/>
        <w:spacing w:after="60" w:line="240" w:lineRule="auto"/>
        <w:ind w:left="0" w:firstLine="709"/>
        <w:rPr>
          <w:rFonts w:cs="Times New Roman"/>
          <w:szCs w:val="24"/>
        </w:rPr>
      </w:pPr>
    </w:p>
    <w:p w14:paraId="140E69E4" w14:textId="77777777" w:rsidR="0001325B" w:rsidRPr="00CB0A5E" w:rsidRDefault="0001325B" w:rsidP="00EC10C5">
      <w:pPr>
        <w:pStyle w:val="Listaszerbekezds"/>
        <w:spacing w:after="60" w:line="240" w:lineRule="auto"/>
        <w:ind w:left="0" w:firstLine="709"/>
        <w:rPr>
          <w:rFonts w:cs="Times New Roman"/>
          <w:szCs w:val="24"/>
        </w:rPr>
      </w:pPr>
    </w:p>
    <w:p w14:paraId="08011105" w14:textId="77777777" w:rsidR="003D50F2" w:rsidRPr="00CB0A5E" w:rsidRDefault="003D50F2" w:rsidP="00EC10C5">
      <w:pPr>
        <w:pStyle w:val="Listaszerbekezds"/>
        <w:spacing w:after="60" w:line="240" w:lineRule="auto"/>
        <w:ind w:left="360" w:firstLine="709"/>
        <w:rPr>
          <w:rFonts w:cs="Times New Roman"/>
          <w:color w:val="FF0000"/>
          <w:szCs w:val="24"/>
        </w:rPr>
      </w:pPr>
    </w:p>
    <w:p w14:paraId="2BF6A158" w14:textId="77777777" w:rsidR="003D50F2" w:rsidRPr="0001325B" w:rsidRDefault="00062572" w:rsidP="00EC10C5">
      <w:pPr>
        <w:pStyle w:val="Kpalrs"/>
        <w:spacing w:after="60"/>
        <w:ind w:left="360" w:firstLine="709"/>
        <w:jc w:val="center"/>
        <w:rPr>
          <w:rFonts w:ascii="Times New Roman" w:hAnsi="Times New Roman" w:cs="Times New Roman"/>
          <w:b/>
          <w:i w:val="0"/>
          <w:color w:val="000000" w:themeColor="text1"/>
          <w:sz w:val="24"/>
          <w:szCs w:val="24"/>
        </w:rPr>
      </w:pPr>
      <w:bookmarkStart w:id="37" w:name="_Ref649153"/>
      <w:bookmarkStart w:id="38" w:name="_Ref649148"/>
      <w:r w:rsidRPr="0001325B">
        <w:rPr>
          <w:rFonts w:ascii="Times New Roman" w:hAnsi="Times New Roman" w:cs="Times New Roman"/>
          <w:b/>
          <w:i w:val="0"/>
          <w:color w:val="000000" w:themeColor="text1"/>
          <w:sz w:val="24"/>
          <w:szCs w:val="24"/>
        </w:rPr>
        <w:t>10</w:t>
      </w:r>
      <w:r w:rsidR="003D50F2" w:rsidRPr="0001325B">
        <w:rPr>
          <w:rFonts w:ascii="Times New Roman" w:hAnsi="Times New Roman" w:cs="Times New Roman"/>
          <w:b/>
          <w:i w:val="0"/>
          <w:color w:val="000000" w:themeColor="text1"/>
          <w:sz w:val="24"/>
          <w:szCs w:val="24"/>
        </w:rPr>
        <w:t>. ábra</w:t>
      </w:r>
      <w:bookmarkEnd w:id="37"/>
      <w:r w:rsidR="003D50F2" w:rsidRPr="0001325B">
        <w:rPr>
          <w:rFonts w:ascii="Times New Roman" w:hAnsi="Times New Roman" w:cs="Times New Roman"/>
          <w:b/>
          <w:i w:val="0"/>
          <w:color w:val="000000" w:themeColor="text1"/>
          <w:sz w:val="24"/>
          <w:szCs w:val="24"/>
        </w:rPr>
        <w:t xml:space="preserve"> A kvalitatív és kvantitatív módszerek összehasonlítása</w:t>
      </w:r>
      <w:bookmarkEnd w:id="38"/>
    </w:p>
    <w:tbl>
      <w:tblPr>
        <w:tblW w:w="5000" w:type="pct"/>
        <w:tblCellMar>
          <w:left w:w="0" w:type="dxa"/>
          <w:right w:w="0" w:type="dxa"/>
        </w:tblCellMar>
        <w:tblLook w:val="0600" w:firstRow="0" w:lastRow="0" w:firstColumn="0" w:lastColumn="0" w:noHBand="1" w:noVBand="1"/>
      </w:tblPr>
      <w:tblGrid>
        <w:gridCol w:w="2032"/>
        <w:gridCol w:w="3089"/>
        <w:gridCol w:w="3929"/>
      </w:tblGrid>
      <w:tr w:rsidR="003D50F2" w:rsidRPr="00CB0A5E" w14:paraId="52D72018" w14:textId="77777777" w:rsidTr="003D50F2">
        <w:trPr>
          <w:trHeight w:val="492"/>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986D1C"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tc>
        <w:tc>
          <w:tcPr>
            <w:tcW w:w="1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9E913C" w14:textId="77777777" w:rsidR="003D50F2" w:rsidRPr="00CB0A5E" w:rsidRDefault="003D50F2"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Kvalitatív módszerek</w:t>
            </w:r>
          </w:p>
        </w:tc>
        <w:tc>
          <w:tcPr>
            <w:tcW w:w="22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3657E8" w14:textId="77777777" w:rsidR="003D50F2" w:rsidRPr="00CB0A5E" w:rsidRDefault="003D50F2"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Kvantitatív módszerek</w:t>
            </w:r>
          </w:p>
        </w:tc>
      </w:tr>
      <w:tr w:rsidR="003D50F2" w:rsidRPr="00CB0A5E" w14:paraId="4F8C6CC3" w14:textId="77777777" w:rsidTr="003D50F2">
        <w:trPr>
          <w:trHeight w:val="811"/>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71721" w14:textId="77777777" w:rsidR="003D50F2" w:rsidRPr="00CB0A5E" w:rsidRDefault="003D50F2"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Célkitűzés</w:t>
            </w:r>
          </w:p>
        </w:tc>
        <w:tc>
          <w:tcPr>
            <w:tcW w:w="1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3F21BC"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Mögöttes okok, motivációk</w:t>
            </w:r>
          </w:p>
        </w:tc>
        <w:tc>
          <w:tcPr>
            <w:tcW w:w="22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FDED7B"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Adatok számszerűsítése, általánosítások a minta alapján a vizsgált populációra</w:t>
            </w:r>
          </w:p>
        </w:tc>
      </w:tr>
      <w:tr w:rsidR="003D50F2" w:rsidRPr="00CB0A5E" w14:paraId="732B0898" w14:textId="77777777" w:rsidTr="003D50F2">
        <w:trPr>
          <w:trHeight w:val="524"/>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354FF4" w14:textId="77777777" w:rsidR="003D50F2" w:rsidRPr="00CB0A5E" w:rsidRDefault="003D50F2"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Minta</w:t>
            </w:r>
          </w:p>
        </w:tc>
        <w:tc>
          <w:tcPr>
            <w:tcW w:w="1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4918AF"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Kisszámú, nem reprezentatív</w:t>
            </w:r>
          </w:p>
        </w:tc>
        <w:tc>
          <w:tcPr>
            <w:tcW w:w="22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44D1A2"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Nagyszámú, reprezentatív, vagy nem reprezentatív minta</w:t>
            </w:r>
          </w:p>
        </w:tc>
      </w:tr>
      <w:tr w:rsidR="003D50F2" w:rsidRPr="00CB0A5E" w14:paraId="3970520B" w14:textId="77777777" w:rsidTr="003D50F2">
        <w:trPr>
          <w:trHeight w:val="646"/>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F599C4" w14:textId="77777777" w:rsidR="003D50F2" w:rsidRPr="00CB0A5E" w:rsidRDefault="003D50F2"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Adatgyűjtés</w:t>
            </w:r>
          </w:p>
        </w:tc>
        <w:tc>
          <w:tcPr>
            <w:tcW w:w="1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8D96E"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Nem strukturált</w:t>
            </w:r>
          </w:p>
        </w:tc>
        <w:tc>
          <w:tcPr>
            <w:tcW w:w="22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5A3A02"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Strukturált</w:t>
            </w:r>
          </w:p>
        </w:tc>
      </w:tr>
      <w:tr w:rsidR="003D50F2" w:rsidRPr="00CB0A5E" w14:paraId="65CA82CD" w14:textId="77777777" w:rsidTr="003D50F2">
        <w:trPr>
          <w:trHeight w:val="684"/>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083874" w14:textId="77777777" w:rsidR="003D50F2" w:rsidRPr="00CB0A5E" w:rsidRDefault="003D50F2"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Adatelemzés</w:t>
            </w:r>
          </w:p>
        </w:tc>
        <w:tc>
          <w:tcPr>
            <w:tcW w:w="1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6A866B"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Nem statisztikai,</w:t>
            </w:r>
          </w:p>
          <w:p w14:paraId="5CB38D43"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tartalomelemzés</w:t>
            </w:r>
          </w:p>
        </w:tc>
        <w:tc>
          <w:tcPr>
            <w:tcW w:w="22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3F2DBC"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Statisztikai módszerek használata</w:t>
            </w:r>
          </w:p>
        </w:tc>
      </w:tr>
      <w:tr w:rsidR="003D50F2" w:rsidRPr="00CB0A5E" w14:paraId="3B0FD31E" w14:textId="77777777" w:rsidTr="003D50F2">
        <w:trPr>
          <w:trHeight w:val="525"/>
        </w:trPr>
        <w:tc>
          <w:tcPr>
            <w:tcW w:w="93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08D5E8" w14:textId="77777777" w:rsidR="003D50F2" w:rsidRPr="00CB0A5E" w:rsidRDefault="003D50F2"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sz w:val="24"/>
                <w:szCs w:val="24"/>
              </w:rPr>
              <w:t>Eredmény</w:t>
            </w:r>
          </w:p>
        </w:tc>
        <w:tc>
          <w:tcPr>
            <w:tcW w:w="180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02DA2E"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A probléma megértésére szolgál</w:t>
            </w:r>
          </w:p>
        </w:tc>
        <w:tc>
          <w:tcPr>
            <w:tcW w:w="2265"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78F9B2"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Javaslatokat tesz a cselekvésre</w:t>
            </w:r>
          </w:p>
        </w:tc>
      </w:tr>
    </w:tbl>
    <w:p w14:paraId="6922FB3D" w14:textId="77777777" w:rsidR="003D50F2" w:rsidRPr="00CB0A5E" w:rsidRDefault="0001325B" w:rsidP="00EC10C5">
      <w:pPr>
        <w:pStyle w:val="Listaszerbekezds"/>
        <w:spacing w:after="60" w:line="240" w:lineRule="auto"/>
        <w:ind w:left="360" w:firstLine="709"/>
        <w:rPr>
          <w:rFonts w:cs="Times New Roman"/>
          <w:i/>
          <w:szCs w:val="24"/>
        </w:rPr>
      </w:pPr>
      <w:r>
        <w:rPr>
          <w:rFonts w:cs="Times New Roman"/>
          <w:i/>
          <w:szCs w:val="24"/>
        </w:rPr>
        <w:t>F</w:t>
      </w:r>
      <w:r w:rsidR="003D50F2" w:rsidRPr="00CB0A5E">
        <w:rPr>
          <w:rFonts w:cs="Times New Roman"/>
          <w:i/>
          <w:szCs w:val="24"/>
        </w:rPr>
        <w:t xml:space="preserve">orrás: </w:t>
      </w:r>
      <w:proofErr w:type="spellStart"/>
      <w:r w:rsidR="003D50F2" w:rsidRPr="00CB0A5E">
        <w:rPr>
          <w:rFonts w:cs="Times New Roman"/>
          <w:i/>
          <w:szCs w:val="24"/>
        </w:rPr>
        <w:t>Malhotra</w:t>
      </w:r>
      <w:proofErr w:type="spellEnd"/>
      <w:r w:rsidR="003D50F2" w:rsidRPr="00CB0A5E">
        <w:rPr>
          <w:rFonts w:cs="Times New Roman"/>
          <w:i/>
          <w:szCs w:val="24"/>
        </w:rPr>
        <w:t xml:space="preserve"> (2012)</w:t>
      </w:r>
    </w:p>
    <w:p w14:paraId="7E0D4F17" w14:textId="77777777" w:rsidR="003D50F2" w:rsidRPr="00CB0A5E" w:rsidRDefault="003D50F2" w:rsidP="00EC10C5">
      <w:pPr>
        <w:pStyle w:val="Listaszerbekezds"/>
        <w:spacing w:after="60" w:line="240" w:lineRule="auto"/>
        <w:ind w:left="360" w:firstLine="709"/>
        <w:rPr>
          <w:rFonts w:cs="Times New Roman"/>
          <w:szCs w:val="24"/>
        </w:rPr>
      </w:pPr>
    </w:p>
    <w:p w14:paraId="5FA00FD4"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Három kutatást különböztetünk meg a résztvevők szerepe alapján: </w:t>
      </w:r>
      <w:r w:rsidRPr="00CB0A5E">
        <w:rPr>
          <w:rFonts w:ascii="Times New Roman" w:hAnsi="Times New Roman" w:cs="Times New Roman"/>
          <w:b/>
          <w:sz w:val="24"/>
          <w:szCs w:val="24"/>
        </w:rPr>
        <w:t xml:space="preserve">megkérdezés, </w:t>
      </w:r>
      <w:proofErr w:type="gramStart"/>
      <w:r w:rsidRPr="00CB0A5E">
        <w:rPr>
          <w:rFonts w:ascii="Times New Roman" w:hAnsi="Times New Roman" w:cs="Times New Roman"/>
          <w:b/>
          <w:sz w:val="24"/>
          <w:szCs w:val="24"/>
        </w:rPr>
        <w:t>megfigyelés,</w:t>
      </w:r>
      <w:proofErr w:type="gramEnd"/>
      <w:r w:rsidRPr="00CB0A5E">
        <w:rPr>
          <w:rFonts w:ascii="Times New Roman" w:hAnsi="Times New Roman" w:cs="Times New Roman"/>
          <w:b/>
          <w:sz w:val="24"/>
          <w:szCs w:val="24"/>
        </w:rPr>
        <w:t xml:space="preserve"> és kísérlet.</w:t>
      </w:r>
      <w:r w:rsidRPr="00CB0A5E">
        <w:rPr>
          <w:rFonts w:ascii="Times New Roman" w:hAnsi="Times New Roman" w:cs="Times New Roman"/>
          <w:sz w:val="24"/>
          <w:szCs w:val="24"/>
        </w:rPr>
        <w:t xml:space="preserve"> A megkérdezés során az alanyokat arra kérik, hogy fejtsék ki véleményüket a kutatás tárgyáról. A megfigyelés során megvizsgálják az alanyok viselkedését egy adott szituációban, míg a kísérlet esetében az alanyok eltérő csoportjait eltérő kísérleti szituációban vizsgálják. Mindhárom módszer lehet kvalitatív vagy kvantitatív. </w:t>
      </w:r>
    </w:p>
    <w:p w14:paraId="1A8C1634" w14:textId="77777777" w:rsidR="003D50F2" w:rsidRPr="00CB0A5E" w:rsidRDefault="003D50F2" w:rsidP="00EC10C5">
      <w:pPr>
        <w:pStyle w:val="Listaszerbekezds"/>
        <w:spacing w:after="60" w:line="240" w:lineRule="auto"/>
        <w:ind w:left="360" w:firstLine="709"/>
        <w:rPr>
          <w:rFonts w:cs="Times New Roman"/>
          <w:szCs w:val="24"/>
        </w:rPr>
      </w:pPr>
    </w:p>
    <w:p w14:paraId="0B3C88BC" w14:textId="77777777" w:rsidR="003D50F2"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r w:rsidRPr="0001325B">
        <w:rPr>
          <w:rFonts w:ascii="Times New Roman" w:hAnsi="Times New Roman" w:cs="Times New Roman"/>
          <w:b/>
          <w:i w:val="0"/>
          <w:color w:val="000000" w:themeColor="text1"/>
          <w:sz w:val="24"/>
          <w:szCs w:val="24"/>
        </w:rPr>
        <w:t>11</w:t>
      </w:r>
      <w:r w:rsidR="003D50F2" w:rsidRPr="0001325B">
        <w:rPr>
          <w:rFonts w:ascii="Times New Roman" w:hAnsi="Times New Roman" w:cs="Times New Roman"/>
          <w:b/>
          <w:i w:val="0"/>
          <w:color w:val="000000" w:themeColor="text1"/>
          <w:sz w:val="24"/>
          <w:szCs w:val="24"/>
        </w:rPr>
        <w:t>. ábra A primer kutatások típusai</w:t>
      </w:r>
    </w:p>
    <w:tbl>
      <w:tblPr>
        <w:tblStyle w:val="Rcsostblzat"/>
        <w:tblW w:w="0" w:type="auto"/>
        <w:tblLook w:val="04A0" w:firstRow="1" w:lastRow="0" w:firstColumn="1" w:lastColumn="0" w:noHBand="0" w:noVBand="1"/>
      </w:tblPr>
      <w:tblGrid>
        <w:gridCol w:w="4530"/>
        <w:gridCol w:w="4530"/>
      </w:tblGrid>
      <w:tr w:rsidR="003D50F2" w:rsidRPr="00CB0A5E" w14:paraId="03A7D8A4" w14:textId="77777777" w:rsidTr="003D50F2">
        <w:tc>
          <w:tcPr>
            <w:tcW w:w="9062" w:type="dxa"/>
            <w:gridSpan w:val="2"/>
          </w:tcPr>
          <w:p w14:paraId="2C563E7C" w14:textId="77777777" w:rsidR="003D50F2" w:rsidRPr="00CB0A5E" w:rsidRDefault="003D50F2" w:rsidP="00EC10C5">
            <w:pPr>
              <w:spacing w:after="60"/>
              <w:ind w:firstLine="709"/>
              <w:rPr>
                <w:rFonts w:ascii="Times New Roman" w:hAnsi="Times New Roman" w:cs="Times New Roman"/>
                <w:b/>
                <w:sz w:val="24"/>
                <w:szCs w:val="24"/>
              </w:rPr>
            </w:pPr>
            <w:r w:rsidRPr="00CB0A5E">
              <w:rPr>
                <w:rFonts w:ascii="Times New Roman" w:hAnsi="Times New Roman" w:cs="Times New Roman"/>
                <w:b/>
                <w:sz w:val="24"/>
                <w:szCs w:val="24"/>
              </w:rPr>
              <w:t>Megkérdezés</w:t>
            </w:r>
          </w:p>
        </w:tc>
      </w:tr>
      <w:tr w:rsidR="003D50F2" w:rsidRPr="00CB0A5E" w14:paraId="3F7D3F97" w14:textId="77777777" w:rsidTr="003D50F2">
        <w:tc>
          <w:tcPr>
            <w:tcW w:w="4531" w:type="dxa"/>
          </w:tcPr>
          <w:p w14:paraId="592ECAE4" w14:textId="77777777" w:rsidR="003D50F2" w:rsidRPr="00CB0A5E" w:rsidRDefault="003D50F2" w:rsidP="00EC10C5">
            <w:pPr>
              <w:spacing w:after="60"/>
              <w:ind w:firstLine="709"/>
              <w:rPr>
                <w:rFonts w:ascii="Times New Roman" w:hAnsi="Times New Roman" w:cs="Times New Roman"/>
                <w:b/>
                <w:sz w:val="24"/>
                <w:szCs w:val="24"/>
              </w:rPr>
            </w:pPr>
            <w:r w:rsidRPr="00CB0A5E">
              <w:rPr>
                <w:rFonts w:ascii="Times New Roman" w:hAnsi="Times New Roman" w:cs="Times New Roman"/>
                <w:b/>
                <w:sz w:val="24"/>
                <w:szCs w:val="24"/>
              </w:rPr>
              <w:t>Kvalitatív</w:t>
            </w:r>
          </w:p>
        </w:tc>
        <w:tc>
          <w:tcPr>
            <w:tcW w:w="4531" w:type="dxa"/>
          </w:tcPr>
          <w:p w14:paraId="732A7952" w14:textId="77777777" w:rsidR="003D50F2" w:rsidRPr="00CB0A5E" w:rsidRDefault="003D50F2" w:rsidP="00EC10C5">
            <w:pPr>
              <w:spacing w:after="60"/>
              <w:ind w:firstLine="709"/>
              <w:rPr>
                <w:rFonts w:ascii="Times New Roman" w:hAnsi="Times New Roman" w:cs="Times New Roman"/>
                <w:b/>
                <w:sz w:val="24"/>
                <w:szCs w:val="24"/>
              </w:rPr>
            </w:pPr>
            <w:r w:rsidRPr="00CB0A5E">
              <w:rPr>
                <w:rFonts w:ascii="Times New Roman" w:hAnsi="Times New Roman" w:cs="Times New Roman"/>
                <w:b/>
                <w:sz w:val="24"/>
                <w:szCs w:val="24"/>
              </w:rPr>
              <w:t>Kvantitatív</w:t>
            </w:r>
          </w:p>
        </w:tc>
      </w:tr>
      <w:tr w:rsidR="003D50F2" w:rsidRPr="00CB0A5E" w14:paraId="48D8D213" w14:textId="77777777" w:rsidTr="003D50F2">
        <w:tc>
          <w:tcPr>
            <w:tcW w:w="4531" w:type="dxa"/>
          </w:tcPr>
          <w:p w14:paraId="42FD66FC"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Mélyinterjú</w:t>
            </w:r>
          </w:p>
        </w:tc>
        <w:tc>
          <w:tcPr>
            <w:tcW w:w="4531" w:type="dxa"/>
          </w:tcPr>
          <w:p w14:paraId="0E64B74E"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Kérdőíves megkérdezés</w:t>
            </w:r>
          </w:p>
        </w:tc>
      </w:tr>
      <w:tr w:rsidR="003D50F2" w:rsidRPr="00CB0A5E" w14:paraId="653ED331" w14:textId="77777777" w:rsidTr="003D50F2">
        <w:tc>
          <w:tcPr>
            <w:tcW w:w="4531" w:type="dxa"/>
          </w:tcPr>
          <w:p w14:paraId="40FFF938"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Fókuszcsoport</w:t>
            </w:r>
          </w:p>
        </w:tc>
        <w:tc>
          <w:tcPr>
            <w:tcW w:w="4531" w:type="dxa"/>
          </w:tcPr>
          <w:p w14:paraId="3708BCC6" w14:textId="77777777" w:rsidR="003D50F2" w:rsidRPr="00CB0A5E" w:rsidRDefault="003D50F2" w:rsidP="00EC10C5">
            <w:pPr>
              <w:spacing w:after="60"/>
              <w:ind w:firstLine="709"/>
              <w:rPr>
                <w:rFonts w:ascii="Times New Roman" w:hAnsi="Times New Roman" w:cs="Times New Roman"/>
                <w:sz w:val="24"/>
                <w:szCs w:val="24"/>
              </w:rPr>
            </w:pPr>
          </w:p>
        </w:tc>
      </w:tr>
      <w:tr w:rsidR="003D50F2" w:rsidRPr="00CB0A5E" w14:paraId="3F3A8D79" w14:textId="77777777" w:rsidTr="003D50F2">
        <w:tc>
          <w:tcPr>
            <w:tcW w:w="9062" w:type="dxa"/>
            <w:gridSpan w:val="2"/>
          </w:tcPr>
          <w:p w14:paraId="3638E1C8" w14:textId="77777777" w:rsidR="003D50F2" w:rsidRPr="00CB0A5E" w:rsidRDefault="003D50F2" w:rsidP="00EC10C5">
            <w:pPr>
              <w:spacing w:after="60"/>
              <w:ind w:firstLine="709"/>
              <w:rPr>
                <w:rFonts w:ascii="Times New Roman" w:hAnsi="Times New Roman" w:cs="Times New Roman"/>
                <w:b/>
                <w:sz w:val="24"/>
                <w:szCs w:val="24"/>
              </w:rPr>
            </w:pPr>
            <w:r w:rsidRPr="00CB0A5E">
              <w:rPr>
                <w:rFonts w:ascii="Times New Roman" w:hAnsi="Times New Roman" w:cs="Times New Roman"/>
                <w:b/>
                <w:sz w:val="24"/>
                <w:szCs w:val="24"/>
              </w:rPr>
              <w:t>Megfigyelés</w:t>
            </w:r>
          </w:p>
        </w:tc>
      </w:tr>
      <w:tr w:rsidR="003D50F2" w:rsidRPr="00CB0A5E" w14:paraId="330DCB9B" w14:textId="77777777" w:rsidTr="003D50F2">
        <w:tc>
          <w:tcPr>
            <w:tcW w:w="4531" w:type="dxa"/>
          </w:tcPr>
          <w:p w14:paraId="4452304D" w14:textId="77777777" w:rsidR="003D50F2" w:rsidRPr="00CB0A5E" w:rsidRDefault="003D50F2" w:rsidP="00EC10C5">
            <w:pPr>
              <w:spacing w:after="60"/>
              <w:ind w:firstLine="709"/>
              <w:rPr>
                <w:rFonts w:ascii="Times New Roman" w:hAnsi="Times New Roman" w:cs="Times New Roman"/>
                <w:b/>
                <w:sz w:val="24"/>
                <w:szCs w:val="24"/>
              </w:rPr>
            </w:pPr>
            <w:r w:rsidRPr="00CB0A5E">
              <w:rPr>
                <w:rFonts w:ascii="Times New Roman" w:hAnsi="Times New Roman" w:cs="Times New Roman"/>
                <w:b/>
                <w:sz w:val="24"/>
                <w:szCs w:val="24"/>
              </w:rPr>
              <w:t>Kvalitatív</w:t>
            </w:r>
          </w:p>
        </w:tc>
        <w:tc>
          <w:tcPr>
            <w:tcW w:w="4531" w:type="dxa"/>
          </w:tcPr>
          <w:p w14:paraId="2013CF8B" w14:textId="77777777" w:rsidR="003D50F2" w:rsidRPr="00CB0A5E" w:rsidRDefault="003D50F2" w:rsidP="00EC10C5">
            <w:pPr>
              <w:spacing w:after="60"/>
              <w:ind w:firstLine="709"/>
              <w:rPr>
                <w:rFonts w:ascii="Times New Roman" w:hAnsi="Times New Roman" w:cs="Times New Roman"/>
                <w:b/>
                <w:sz w:val="24"/>
                <w:szCs w:val="24"/>
              </w:rPr>
            </w:pPr>
            <w:r w:rsidRPr="00CB0A5E">
              <w:rPr>
                <w:rFonts w:ascii="Times New Roman" w:hAnsi="Times New Roman" w:cs="Times New Roman"/>
                <w:b/>
                <w:sz w:val="24"/>
                <w:szCs w:val="24"/>
              </w:rPr>
              <w:t>Kvantitatív</w:t>
            </w:r>
          </w:p>
        </w:tc>
      </w:tr>
      <w:tr w:rsidR="003D50F2" w:rsidRPr="00CB0A5E" w14:paraId="32ECF77B" w14:textId="77777777" w:rsidTr="003D50F2">
        <w:tc>
          <w:tcPr>
            <w:tcW w:w="4531" w:type="dxa"/>
          </w:tcPr>
          <w:p w14:paraId="3348D76B" w14:textId="77777777" w:rsidR="003D50F2" w:rsidRPr="00CB0A5E" w:rsidRDefault="003D50F2" w:rsidP="00EC10C5">
            <w:pPr>
              <w:spacing w:after="60"/>
              <w:ind w:firstLine="709"/>
              <w:rPr>
                <w:rFonts w:ascii="Times New Roman" w:hAnsi="Times New Roman" w:cs="Times New Roman"/>
                <w:sz w:val="24"/>
                <w:szCs w:val="24"/>
              </w:rPr>
            </w:pPr>
            <w:proofErr w:type="spellStart"/>
            <w:r w:rsidRPr="00CB0A5E">
              <w:rPr>
                <w:rFonts w:ascii="Times New Roman" w:hAnsi="Times New Roman" w:cs="Times New Roman"/>
                <w:sz w:val="24"/>
                <w:szCs w:val="24"/>
              </w:rPr>
              <w:t>Mystery</w:t>
            </w:r>
            <w:proofErr w:type="spellEnd"/>
            <w:r w:rsidRPr="00CB0A5E">
              <w:rPr>
                <w:rFonts w:ascii="Times New Roman" w:hAnsi="Times New Roman" w:cs="Times New Roman"/>
                <w:sz w:val="24"/>
                <w:szCs w:val="24"/>
              </w:rPr>
              <w:t xml:space="preserve"> shopping</w:t>
            </w:r>
          </w:p>
        </w:tc>
        <w:tc>
          <w:tcPr>
            <w:tcW w:w="4531" w:type="dxa"/>
          </w:tcPr>
          <w:p w14:paraId="0C7D031C" w14:textId="77777777" w:rsidR="003D50F2" w:rsidRPr="00CB0A5E" w:rsidRDefault="003D50F2" w:rsidP="00EC10C5">
            <w:pPr>
              <w:spacing w:after="60"/>
              <w:ind w:firstLine="709"/>
              <w:rPr>
                <w:rFonts w:ascii="Times New Roman" w:hAnsi="Times New Roman" w:cs="Times New Roman"/>
                <w:sz w:val="24"/>
                <w:szCs w:val="24"/>
              </w:rPr>
            </w:pPr>
            <w:proofErr w:type="spellStart"/>
            <w:r w:rsidRPr="00CB0A5E">
              <w:rPr>
                <w:rFonts w:ascii="Times New Roman" w:hAnsi="Times New Roman" w:cs="Times New Roman"/>
                <w:sz w:val="24"/>
                <w:szCs w:val="24"/>
              </w:rPr>
              <w:t>Clickstream</w:t>
            </w:r>
            <w:proofErr w:type="spellEnd"/>
            <w:r w:rsidRPr="00CB0A5E">
              <w:rPr>
                <w:rFonts w:ascii="Times New Roman" w:hAnsi="Times New Roman" w:cs="Times New Roman"/>
                <w:sz w:val="24"/>
                <w:szCs w:val="24"/>
              </w:rPr>
              <w:t xml:space="preserve"> analízis</w:t>
            </w:r>
          </w:p>
        </w:tc>
      </w:tr>
      <w:tr w:rsidR="003D50F2" w:rsidRPr="00CB0A5E" w14:paraId="1B703CDB" w14:textId="77777777" w:rsidTr="003D50F2">
        <w:tc>
          <w:tcPr>
            <w:tcW w:w="4531" w:type="dxa"/>
          </w:tcPr>
          <w:p w14:paraId="47DEE6E6"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Etnográfia</w:t>
            </w:r>
          </w:p>
        </w:tc>
        <w:tc>
          <w:tcPr>
            <w:tcW w:w="4531" w:type="dxa"/>
          </w:tcPr>
          <w:p w14:paraId="4D4CEEC1"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Adatbányászat</w:t>
            </w:r>
          </w:p>
        </w:tc>
      </w:tr>
      <w:tr w:rsidR="003D50F2" w:rsidRPr="00CB0A5E" w14:paraId="0FE4C9CD" w14:textId="77777777" w:rsidTr="003D50F2">
        <w:tc>
          <w:tcPr>
            <w:tcW w:w="4531" w:type="dxa"/>
          </w:tcPr>
          <w:p w14:paraId="3BDB4FC3"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Szemmozgás követés</w:t>
            </w:r>
          </w:p>
        </w:tc>
        <w:tc>
          <w:tcPr>
            <w:tcW w:w="4531" w:type="dxa"/>
          </w:tcPr>
          <w:p w14:paraId="678FBA23"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Szemmozgás követés</w:t>
            </w:r>
          </w:p>
        </w:tc>
      </w:tr>
      <w:tr w:rsidR="003D50F2" w:rsidRPr="00CB0A5E" w14:paraId="653C24ED" w14:textId="77777777" w:rsidTr="003D50F2">
        <w:tc>
          <w:tcPr>
            <w:tcW w:w="4531" w:type="dxa"/>
          </w:tcPr>
          <w:p w14:paraId="571E8554" w14:textId="77777777" w:rsidR="003D50F2" w:rsidRPr="00CB0A5E" w:rsidRDefault="003D50F2" w:rsidP="00EC10C5">
            <w:pPr>
              <w:spacing w:after="60"/>
              <w:ind w:firstLine="709"/>
              <w:rPr>
                <w:rFonts w:ascii="Times New Roman" w:hAnsi="Times New Roman" w:cs="Times New Roman"/>
                <w:sz w:val="24"/>
                <w:szCs w:val="24"/>
              </w:rPr>
            </w:pPr>
          </w:p>
        </w:tc>
        <w:tc>
          <w:tcPr>
            <w:tcW w:w="4531" w:type="dxa"/>
          </w:tcPr>
          <w:p w14:paraId="48EDC8C6" w14:textId="77777777" w:rsidR="003D50F2" w:rsidRPr="00CB0A5E" w:rsidRDefault="003D50F2" w:rsidP="00EC10C5">
            <w:pPr>
              <w:spacing w:after="60"/>
              <w:ind w:firstLine="709"/>
              <w:rPr>
                <w:rFonts w:ascii="Times New Roman" w:hAnsi="Times New Roman" w:cs="Times New Roman"/>
                <w:sz w:val="24"/>
                <w:szCs w:val="24"/>
              </w:rPr>
            </w:pPr>
            <w:proofErr w:type="spellStart"/>
            <w:r w:rsidRPr="00CB0A5E">
              <w:rPr>
                <w:rFonts w:ascii="Times New Roman" w:hAnsi="Times New Roman" w:cs="Times New Roman"/>
                <w:sz w:val="24"/>
                <w:szCs w:val="24"/>
              </w:rPr>
              <w:t>Mystery</w:t>
            </w:r>
            <w:proofErr w:type="spellEnd"/>
            <w:r w:rsidRPr="00CB0A5E">
              <w:rPr>
                <w:rFonts w:ascii="Times New Roman" w:hAnsi="Times New Roman" w:cs="Times New Roman"/>
                <w:sz w:val="24"/>
                <w:szCs w:val="24"/>
              </w:rPr>
              <w:t xml:space="preserve"> shopping</w:t>
            </w:r>
          </w:p>
        </w:tc>
      </w:tr>
      <w:tr w:rsidR="003D50F2" w:rsidRPr="00CB0A5E" w14:paraId="6A651E73" w14:textId="77777777" w:rsidTr="003D50F2">
        <w:tc>
          <w:tcPr>
            <w:tcW w:w="9062" w:type="dxa"/>
            <w:gridSpan w:val="2"/>
          </w:tcPr>
          <w:p w14:paraId="4F617F80" w14:textId="77777777" w:rsidR="003D50F2" w:rsidRPr="00CB0A5E" w:rsidRDefault="003D50F2" w:rsidP="00EC10C5">
            <w:pPr>
              <w:spacing w:after="60"/>
              <w:ind w:firstLine="709"/>
              <w:rPr>
                <w:rFonts w:ascii="Times New Roman" w:hAnsi="Times New Roman" w:cs="Times New Roman"/>
                <w:b/>
                <w:sz w:val="24"/>
                <w:szCs w:val="24"/>
              </w:rPr>
            </w:pPr>
            <w:r w:rsidRPr="00CB0A5E">
              <w:rPr>
                <w:rFonts w:ascii="Times New Roman" w:hAnsi="Times New Roman" w:cs="Times New Roman"/>
                <w:b/>
                <w:sz w:val="24"/>
                <w:szCs w:val="24"/>
              </w:rPr>
              <w:t>Kísérlet, teszt</w:t>
            </w:r>
          </w:p>
        </w:tc>
      </w:tr>
      <w:tr w:rsidR="003D50F2" w:rsidRPr="00CB0A5E" w14:paraId="0972296D" w14:textId="77777777" w:rsidTr="003D50F2">
        <w:tc>
          <w:tcPr>
            <w:tcW w:w="4531" w:type="dxa"/>
          </w:tcPr>
          <w:p w14:paraId="444E1085"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Bolti teszt</w:t>
            </w:r>
          </w:p>
        </w:tc>
        <w:tc>
          <w:tcPr>
            <w:tcW w:w="4531" w:type="dxa"/>
          </w:tcPr>
          <w:p w14:paraId="01DCA9FE"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Termékteszt</w:t>
            </w:r>
          </w:p>
        </w:tc>
      </w:tr>
      <w:tr w:rsidR="003D50F2" w:rsidRPr="00CB0A5E" w14:paraId="6C9EF588" w14:textId="77777777" w:rsidTr="003D50F2">
        <w:tc>
          <w:tcPr>
            <w:tcW w:w="4531" w:type="dxa"/>
          </w:tcPr>
          <w:p w14:paraId="7BABFE42"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lastRenderedPageBreak/>
              <w:t>Koncepcióteszt</w:t>
            </w:r>
          </w:p>
        </w:tc>
        <w:tc>
          <w:tcPr>
            <w:tcW w:w="4531" w:type="dxa"/>
          </w:tcPr>
          <w:p w14:paraId="10461BA3"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Csomagolásteszt</w:t>
            </w:r>
          </w:p>
        </w:tc>
      </w:tr>
      <w:tr w:rsidR="003D50F2" w:rsidRPr="00CB0A5E" w14:paraId="7CADA1DF" w14:textId="77777777" w:rsidTr="003D50F2">
        <w:tc>
          <w:tcPr>
            <w:tcW w:w="4531" w:type="dxa"/>
          </w:tcPr>
          <w:p w14:paraId="293E60E3" w14:textId="77777777" w:rsidR="003D50F2" w:rsidRPr="00CB0A5E" w:rsidRDefault="003D50F2" w:rsidP="00EC10C5">
            <w:pPr>
              <w:spacing w:after="60"/>
              <w:ind w:firstLine="709"/>
              <w:rPr>
                <w:rFonts w:ascii="Times New Roman" w:hAnsi="Times New Roman" w:cs="Times New Roman"/>
                <w:sz w:val="24"/>
                <w:szCs w:val="24"/>
              </w:rPr>
            </w:pPr>
          </w:p>
        </w:tc>
        <w:tc>
          <w:tcPr>
            <w:tcW w:w="4531" w:type="dxa"/>
          </w:tcPr>
          <w:p w14:paraId="5917AF51"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Természetes kísérlet</w:t>
            </w:r>
          </w:p>
        </w:tc>
      </w:tr>
      <w:tr w:rsidR="003D50F2" w:rsidRPr="00CB0A5E" w14:paraId="7D62AC72" w14:textId="77777777" w:rsidTr="003D50F2">
        <w:tc>
          <w:tcPr>
            <w:tcW w:w="4531" w:type="dxa"/>
          </w:tcPr>
          <w:p w14:paraId="2C27D3FC" w14:textId="77777777" w:rsidR="003D50F2" w:rsidRPr="00CB0A5E" w:rsidRDefault="003D50F2" w:rsidP="00EC10C5">
            <w:pPr>
              <w:spacing w:after="60"/>
              <w:ind w:firstLine="709"/>
              <w:rPr>
                <w:rFonts w:ascii="Times New Roman" w:hAnsi="Times New Roman" w:cs="Times New Roman"/>
                <w:sz w:val="24"/>
                <w:szCs w:val="24"/>
              </w:rPr>
            </w:pPr>
          </w:p>
        </w:tc>
        <w:tc>
          <w:tcPr>
            <w:tcW w:w="4531" w:type="dxa"/>
          </w:tcPr>
          <w:p w14:paraId="0EFC3AA6" w14:textId="77777777" w:rsidR="003D50F2" w:rsidRPr="00CB0A5E" w:rsidRDefault="003D50F2" w:rsidP="00EC10C5">
            <w:pPr>
              <w:spacing w:after="60"/>
              <w:ind w:firstLine="709"/>
              <w:rPr>
                <w:rFonts w:ascii="Times New Roman" w:hAnsi="Times New Roman" w:cs="Times New Roman"/>
                <w:sz w:val="24"/>
                <w:szCs w:val="24"/>
              </w:rPr>
            </w:pPr>
            <w:r w:rsidRPr="00CB0A5E">
              <w:rPr>
                <w:rFonts w:ascii="Times New Roman" w:hAnsi="Times New Roman" w:cs="Times New Roman"/>
                <w:sz w:val="24"/>
                <w:szCs w:val="24"/>
              </w:rPr>
              <w:t>Laboratóriumi kísérlet</w:t>
            </w:r>
          </w:p>
        </w:tc>
      </w:tr>
    </w:tbl>
    <w:p w14:paraId="4D7E8FD1" w14:textId="77777777" w:rsidR="003D50F2" w:rsidRPr="0001325B" w:rsidRDefault="003D50F2" w:rsidP="00EC10C5">
      <w:pPr>
        <w:pStyle w:val="Listaszerbekezds"/>
        <w:spacing w:after="60" w:line="240" w:lineRule="auto"/>
        <w:ind w:left="360" w:firstLine="709"/>
        <w:rPr>
          <w:rFonts w:cs="Times New Roman"/>
          <w:i/>
          <w:szCs w:val="24"/>
        </w:rPr>
      </w:pPr>
      <w:r w:rsidRPr="0001325B">
        <w:rPr>
          <w:rFonts w:cs="Times New Roman"/>
          <w:i/>
          <w:szCs w:val="24"/>
        </w:rPr>
        <w:t>Forrás: saját szerkesztés</w:t>
      </w:r>
    </w:p>
    <w:p w14:paraId="0B602F41" w14:textId="77777777" w:rsidR="003D50F2" w:rsidRPr="00CB0A5E" w:rsidRDefault="003D50F2" w:rsidP="00EC10C5">
      <w:pPr>
        <w:pStyle w:val="Cmsor1"/>
        <w:numPr>
          <w:ilvl w:val="0"/>
          <w:numId w:val="8"/>
        </w:numPr>
        <w:spacing w:after="60" w:line="240" w:lineRule="auto"/>
        <w:ind w:left="0" w:firstLine="709"/>
        <w:jc w:val="both"/>
        <w:rPr>
          <w:rFonts w:ascii="Times New Roman" w:hAnsi="Times New Roman" w:cs="Times New Roman"/>
          <w:b/>
          <w:sz w:val="24"/>
          <w:szCs w:val="24"/>
        </w:rPr>
      </w:pPr>
      <w:bookmarkStart w:id="39" w:name="_Toc18440821"/>
      <w:r w:rsidRPr="00CB0A5E">
        <w:rPr>
          <w:rFonts w:ascii="Times New Roman" w:hAnsi="Times New Roman" w:cs="Times New Roman"/>
          <w:b/>
          <w:sz w:val="24"/>
          <w:szCs w:val="24"/>
        </w:rPr>
        <w:t>Fogyasztói piac és szervezeti piac</w:t>
      </w:r>
      <w:bookmarkEnd w:id="39"/>
    </w:p>
    <w:p w14:paraId="04017A6D" w14:textId="77777777" w:rsidR="003D50F2" w:rsidRPr="00FA479D" w:rsidRDefault="003D50F2" w:rsidP="00EC10C5">
      <w:pPr>
        <w:pStyle w:val="Cmsor2"/>
        <w:numPr>
          <w:ilvl w:val="1"/>
          <w:numId w:val="8"/>
        </w:numPr>
        <w:spacing w:after="60" w:line="240" w:lineRule="auto"/>
        <w:ind w:left="0" w:firstLine="709"/>
        <w:jc w:val="both"/>
        <w:rPr>
          <w:rFonts w:ascii="Times New Roman" w:hAnsi="Times New Roman" w:cs="Times New Roman"/>
          <w:b/>
          <w:sz w:val="24"/>
          <w:szCs w:val="24"/>
        </w:rPr>
      </w:pPr>
      <w:bookmarkStart w:id="40" w:name="_Toc18440822"/>
      <w:r w:rsidRPr="00FA479D">
        <w:rPr>
          <w:rFonts w:ascii="Times New Roman" w:hAnsi="Times New Roman" w:cs="Times New Roman"/>
          <w:b/>
          <w:sz w:val="24"/>
          <w:szCs w:val="24"/>
        </w:rPr>
        <w:t>A fogyasztói döntés folyamata</w:t>
      </w:r>
      <w:bookmarkEnd w:id="40"/>
      <w:r w:rsidRPr="00FA479D">
        <w:rPr>
          <w:rFonts w:ascii="Times New Roman" w:hAnsi="Times New Roman" w:cs="Times New Roman"/>
          <w:b/>
          <w:sz w:val="24"/>
          <w:szCs w:val="24"/>
        </w:rPr>
        <w:t xml:space="preserve"> </w:t>
      </w:r>
    </w:p>
    <w:p w14:paraId="47C268B6" w14:textId="77777777" w:rsidR="003D50F2" w:rsidRPr="00CB0A5E" w:rsidRDefault="003D50F2"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A vevői elkötelezettség és a nyereséges vevőkapcsolatok kiépítésének elengedhetetlen feltétele, hogy a vállalat ismerje a vevőit. Ebben a fejezetben a fogyasztói piac vevőivel foglalkozunk, azt vizsgáljuk, hogy a fogyasztók hogyan vásárolnak, és hogy mi befolyásolja őket a vásárlási döntéseik során. A következő fejezetben a szervezeti piac vevőire térünk ki.</w:t>
      </w:r>
    </w:p>
    <w:p w14:paraId="0837E20A"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fogyasztói piac </w:t>
      </w:r>
      <w:r w:rsidRPr="00CB0A5E">
        <w:rPr>
          <w:rFonts w:ascii="Times New Roman" w:hAnsi="Times New Roman" w:cs="Times New Roman"/>
          <w:sz w:val="24"/>
          <w:szCs w:val="24"/>
        </w:rPr>
        <w:t xml:space="preserve">egyénekből és háztartásokból áll, akik saját fogyasztásra vásárolnak javakat. </w:t>
      </w:r>
      <w:r w:rsidRPr="00CB0A5E">
        <w:rPr>
          <w:rFonts w:ascii="Times New Roman" w:hAnsi="Times New Roman" w:cs="Times New Roman"/>
          <w:b/>
          <w:bCs/>
          <w:sz w:val="24"/>
          <w:szCs w:val="24"/>
        </w:rPr>
        <w:t xml:space="preserve">A fogyasztók vásárlói magatartása </w:t>
      </w:r>
      <w:r w:rsidRPr="00CB0A5E">
        <w:rPr>
          <w:rFonts w:ascii="Times New Roman" w:hAnsi="Times New Roman" w:cs="Times New Roman"/>
          <w:bCs/>
          <w:sz w:val="24"/>
          <w:szCs w:val="24"/>
        </w:rPr>
        <w:t>tehát az egyének és háztartások</w:t>
      </w:r>
      <w:r w:rsidRPr="00CB0A5E">
        <w:rPr>
          <w:rFonts w:ascii="Times New Roman" w:hAnsi="Times New Roman" w:cs="Times New Roman"/>
          <w:sz w:val="24"/>
          <w:szCs w:val="24"/>
        </w:rPr>
        <w:t xml:space="preserve"> azon vásárlási magatartása, amely során személyes fogyasztásra termékeket és szolgáltatásokat vásárolnak.</w:t>
      </w:r>
      <w:r w:rsidRPr="00CB0A5E">
        <w:rPr>
          <w:rFonts w:ascii="Times New Roman" w:hAnsi="Times New Roman" w:cs="Times New Roman"/>
          <w:b/>
          <w:bCs/>
          <w:sz w:val="24"/>
          <w:szCs w:val="24"/>
        </w:rPr>
        <w:t xml:space="preserve"> </w:t>
      </w:r>
    </w:p>
    <w:p w14:paraId="62E75DE4"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helyes marketingstratégia kialakításának egyik fontos előfeltétele annak megértése, hogy a vásárló miért részesítette előnyben az egyik terméket egy másikkal szemben, milyen folyamat végén hozta meg a döntését, a döntéshozatal során milyen tényezők befolyásolták. A tranzakció megszületésekor az eladó sokszor csak a döntés végkimenetét ismeri, a döntésig vezető utat nem. </w:t>
      </w:r>
    </w:p>
    <w:p w14:paraId="6109DFDF" w14:textId="7952B652"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vállalat számára fontos megismerni, hogyan reagál a vevő a szervezet különböző marketing tevékenységére. A </w:t>
      </w:r>
      <w:proofErr w:type="spellStart"/>
      <w:r w:rsidRPr="00CB0A5E">
        <w:rPr>
          <w:rFonts w:ascii="Times New Roman" w:hAnsi="Times New Roman" w:cs="Times New Roman"/>
          <w:sz w:val="24"/>
          <w:szCs w:val="24"/>
        </w:rPr>
        <w:t>stimulus</w:t>
      </w:r>
      <w:proofErr w:type="spellEnd"/>
      <w:r w:rsidRPr="00CB0A5E">
        <w:rPr>
          <w:rFonts w:ascii="Times New Roman" w:hAnsi="Times New Roman" w:cs="Times New Roman"/>
          <w:sz w:val="24"/>
          <w:szCs w:val="24"/>
        </w:rPr>
        <w:t>-válasz modell ezt a folyamatot mutatja be (</w:t>
      </w:r>
      <w:r w:rsidRPr="00CB0A5E">
        <w:rPr>
          <w:rFonts w:ascii="Times New Roman" w:hAnsi="Times New Roman" w:cs="Times New Roman"/>
          <w:sz w:val="24"/>
          <w:szCs w:val="24"/>
        </w:rPr>
        <w:fldChar w:fldCharType="begin"/>
      </w:r>
      <w:r w:rsidRPr="00CB0A5E">
        <w:rPr>
          <w:rFonts w:ascii="Times New Roman" w:hAnsi="Times New Roman" w:cs="Times New Roman"/>
          <w:sz w:val="24"/>
          <w:szCs w:val="24"/>
        </w:rPr>
        <w:instrText xml:space="preserve"> REF _Ref1290488 \h  \* MERGEFORMAT </w:instrText>
      </w:r>
      <w:r w:rsidRPr="00CB0A5E">
        <w:rPr>
          <w:rFonts w:ascii="Times New Roman" w:hAnsi="Times New Roman" w:cs="Times New Roman"/>
          <w:sz w:val="24"/>
          <w:szCs w:val="24"/>
        </w:rPr>
      </w:r>
      <w:r w:rsidRPr="00CB0A5E">
        <w:rPr>
          <w:rFonts w:ascii="Times New Roman" w:hAnsi="Times New Roman" w:cs="Times New Roman"/>
          <w:sz w:val="24"/>
          <w:szCs w:val="24"/>
        </w:rPr>
        <w:fldChar w:fldCharType="separate"/>
      </w:r>
      <w:r w:rsidR="006C213D" w:rsidRPr="006C213D">
        <w:rPr>
          <w:rFonts w:ascii="Times New Roman" w:hAnsi="Times New Roman" w:cs="Times New Roman"/>
          <w:noProof/>
          <w:sz w:val="24"/>
          <w:szCs w:val="24"/>
        </w:rPr>
        <w:t>12</w:t>
      </w:r>
      <w:r w:rsidR="006C213D" w:rsidRPr="006C213D">
        <w:rPr>
          <w:rFonts w:ascii="Times New Roman" w:hAnsi="Times New Roman" w:cs="Times New Roman"/>
          <w:sz w:val="24"/>
          <w:szCs w:val="24"/>
        </w:rPr>
        <w:t>. ábra</w:t>
      </w:r>
      <w:r w:rsidRPr="00CB0A5E">
        <w:rPr>
          <w:rFonts w:ascii="Times New Roman" w:hAnsi="Times New Roman" w:cs="Times New Roman"/>
          <w:sz w:val="24"/>
          <w:szCs w:val="24"/>
        </w:rPr>
        <w:fldChar w:fldCharType="end"/>
      </w:r>
      <w:r w:rsidRPr="00CB0A5E">
        <w:rPr>
          <w:rFonts w:ascii="Times New Roman" w:hAnsi="Times New Roman" w:cs="Times New Roman"/>
          <w:sz w:val="24"/>
          <w:szCs w:val="24"/>
        </w:rPr>
        <w:t xml:space="preserve">). A vásárlás során a fogyasztót különböző ingerek érik: a tágabb környezetében a gazdasági, kulturális szociális és technológiai változások, valamint a vállalatok marketing tevékenysége mind befolyásolják a véleményét. A vásárló egyéni jellemzői és a vásárlási döntési folyamata az ún. „fekete dobozt” jelképezik a vállalatok számára, ezek befolyásolják azt, hogy a vevő hogyan reagál a környezet ingereire, ugyanakkor a vállalatnak erről nincs pontosabb tudása. A vállalat a vevő vásárlás utáni visszajelzéseit (elégedettség, elkötelezettség, </w:t>
      </w:r>
      <w:proofErr w:type="gramStart"/>
      <w:r w:rsidRPr="00CB0A5E">
        <w:rPr>
          <w:rFonts w:ascii="Times New Roman" w:hAnsi="Times New Roman" w:cs="Times New Roman"/>
          <w:sz w:val="24"/>
          <w:szCs w:val="24"/>
        </w:rPr>
        <w:t>attitűd,..</w:t>
      </w:r>
      <w:proofErr w:type="gramEnd"/>
      <w:r w:rsidRPr="00CB0A5E">
        <w:rPr>
          <w:rFonts w:ascii="Times New Roman" w:hAnsi="Times New Roman" w:cs="Times New Roman"/>
          <w:sz w:val="24"/>
          <w:szCs w:val="24"/>
        </w:rPr>
        <w:t xml:space="preserve">) ismerheti meg. </w:t>
      </w:r>
    </w:p>
    <w:p w14:paraId="52DE6B5E" w14:textId="77777777" w:rsidR="003D50F2"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bookmarkStart w:id="41" w:name="_Ref1290488"/>
      <w:r w:rsidRPr="0001325B">
        <w:rPr>
          <w:rFonts w:ascii="Times New Roman" w:hAnsi="Times New Roman" w:cs="Times New Roman"/>
          <w:b/>
          <w:i w:val="0"/>
          <w:color w:val="000000" w:themeColor="text1"/>
          <w:sz w:val="24"/>
          <w:szCs w:val="24"/>
        </w:rPr>
        <w:t>12</w:t>
      </w:r>
      <w:r w:rsidR="003D50F2" w:rsidRPr="0001325B">
        <w:rPr>
          <w:rFonts w:ascii="Times New Roman" w:hAnsi="Times New Roman" w:cs="Times New Roman"/>
          <w:b/>
          <w:i w:val="0"/>
          <w:color w:val="000000" w:themeColor="text1"/>
          <w:sz w:val="24"/>
          <w:szCs w:val="24"/>
        </w:rPr>
        <w:t>. ábra</w:t>
      </w:r>
      <w:bookmarkEnd w:id="41"/>
      <w:r w:rsidR="003D50F2" w:rsidRPr="0001325B">
        <w:rPr>
          <w:rFonts w:ascii="Times New Roman" w:hAnsi="Times New Roman" w:cs="Times New Roman"/>
          <w:b/>
          <w:i w:val="0"/>
          <w:color w:val="000000" w:themeColor="text1"/>
          <w:sz w:val="24"/>
          <w:szCs w:val="24"/>
        </w:rPr>
        <w:t xml:space="preserve"> </w:t>
      </w:r>
      <w:proofErr w:type="spellStart"/>
      <w:r w:rsidR="003D50F2" w:rsidRPr="0001325B">
        <w:rPr>
          <w:rFonts w:ascii="Times New Roman" w:hAnsi="Times New Roman" w:cs="Times New Roman"/>
          <w:b/>
          <w:i w:val="0"/>
          <w:color w:val="000000" w:themeColor="text1"/>
          <w:sz w:val="24"/>
          <w:szCs w:val="24"/>
        </w:rPr>
        <w:t>Stimulus</w:t>
      </w:r>
      <w:proofErr w:type="spellEnd"/>
      <w:r w:rsidR="003D50F2" w:rsidRPr="0001325B">
        <w:rPr>
          <w:rFonts w:ascii="Times New Roman" w:hAnsi="Times New Roman" w:cs="Times New Roman"/>
          <w:b/>
          <w:i w:val="0"/>
          <w:color w:val="000000" w:themeColor="text1"/>
          <w:sz w:val="24"/>
          <w:szCs w:val="24"/>
        </w:rPr>
        <w:t>-válasz modell: a vásárló „fekete doboza”</w:t>
      </w:r>
    </w:p>
    <w:p w14:paraId="39C9CA91"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0D6CF937" w14:textId="77777777" w:rsidR="003D50F2" w:rsidRPr="00CB0A5E" w:rsidRDefault="003D50F2" w:rsidP="00EC10C5">
      <w:pPr>
        <w:spacing w:after="60" w:line="240" w:lineRule="auto"/>
        <w:ind w:firstLine="709"/>
        <w:jc w:val="both"/>
        <w:rPr>
          <w:rFonts w:ascii="Times New Roman" w:hAnsi="Times New Roman" w:cs="Times New Roman"/>
          <w:i/>
          <w:sz w:val="24"/>
          <w:szCs w:val="24"/>
        </w:rPr>
      </w:pPr>
      <w:r w:rsidRPr="00CB0A5E">
        <w:rPr>
          <w:rFonts w:ascii="Times New Roman" w:hAnsi="Times New Roman" w:cs="Times New Roman"/>
          <w:i/>
          <w:noProof/>
          <w:sz w:val="24"/>
          <w:szCs w:val="24"/>
          <w:lang w:eastAsia="hu-HU"/>
        </w:rPr>
        <w:drawing>
          <wp:anchor distT="0" distB="0" distL="114300" distR="114300" simplePos="0" relativeHeight="251668480" behindDoc="0" locked="0" layoutInCell="1" allowOverlap="1" wp14:anchorId="2C6F0159" wp14:editId="399386F4">
            <wp:simplePos x="0" y="0"/>
            <wp:positionH relativeFrom="column">
              <wp:posOffset>-1905</wp:posOffset>
            </wp:positionH>
            <wp:positionV relativeFrom="paragraph">
              <wp:posOffset>-1905</wp:posOffset>
            </wp:positionV>
            <wp:extent cx="5399405" cy="2937510"/>
            <wp:effectExtent l="0" t="0" r="0" b="0"/>
            <wp:wrapTopAndBottom/>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405" cy="2937510"/>
                    </a:xfrm>
                    <a:prstGeom prst="rect">
                      <a:avLst/>
                    </a:prstGeom>
                    <a:noFill/>
                  </pic:spPr>
                </pic:pic>
              </a:graphicData>
            </a:graphic>
          </wp:anchor>
        </w:drawing>
      </w:r>
      <w:r w:rsidRPr="00CB0A5E">
        <w:rPr>
          <w:rFonts w:ascii="Times New Roman" w:hAnsi="Times New Roman" w:cs="Times New Roman"/>
          <w:i/>
          <w:sz w:val="24"/>
          <w:szCs w:val="24"/>
        </w:rPr>
        <w:t xml:space="preserve">Forrás: </w:t>
      </w:r>
      <w:proofErr w:type="spellStart"/>
      <w:r w:rsidRPr="00CB0A5E">
        <w:rPr>
          <w:rFonts w:ascii="Times New Roman" w:hAnsi="Times New Roman" w:cs="Times New Roman"/>
          <w:i/>
          <w:sz w:val="24"/>
          <w:szCs w:val="24"/>
        </w:rPr>
        <w:t>Kotler-Amstrong</w:t>
      </w:r>
      <w:proofErr w:type="spellEnd"/>
      <w:r w:rsidRPr="00CB0A5E">
        <w:rPr>
          <w:rFonts w:ascii="Times New Roman" w:hAnsi="Times New Roman" w:cs="Times New Roman"/>
          <w:i/>
          <w:sz w:val="24"/>
          <w:szCs w:val="24"/>
        </w:rPr>
        <w:t xml:space="preserve"> (2017)</w:t>
      </w:r>
    </w:p>
    <w:p w14:paraId="28A172F9"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lastRenderedPageBreak/>
        <w:t xml:space="preserve">   </w:t>
      </w:r>
    </w:p>
    <w:p w14:paraId="54C47294" w14:textId="77777777" w:rsidR="0001325B" w:rsidRDefault="0001325B" w:rsidP="00EC10C5">
      <w:pPr>
        <w:pStyle w:val="Stlus1"/>
      </w:pPr>
      <w:bookmarkStart w:id="42" w:name="_Toc1568861"/>
      <w:bookmarkStart w:id="43" w:name="_Toc18440823"/>
    </w:p>
    <w:p w14:paraId="0F6C737B" w14:textId="77777777" w:rsidR="0001325B" w:rsidRDefault="0001325B" w:rsidP="00EC10C5">
      <w:pPr>
        <w:pStyle w:val="Stlus1"/>
      </w:pPr>
    </w:p>
    <w:p w14:paraId="4E96F5BF" w14:textId="77777777" w:rsidR="0001325B" w:rsidRDefault="0001325B" w:rsidP="00EC10C5">
      <w:pPr>
        <w:pStyle w:val="Stlus1"/>
      </w:pPr>
    </w:p>
    <w:p w14:paraId="105E85D8" w14:textId="77777777" w:rsidR="0001325B" w:rsidRDefault="0001325B" w:rsidP="00EC10C5">
      <w:pPr>
        <w:pStyle w:val="Stlus1"/>
      </w:pPr>
    </w:p>
    <w:p w14:paraId="154160B3" w14:textId="77777777" w:rsidR="003D50F2" w:rsidRPr="00CB0A5E" w:rsidRDefault="003D50F2" w:rsidP="00EC10C5">
      <w:pPr>
        <w:pStyle w:val="Stlus1"/>
      </w:pPr>
      <w:r w:rsidRPr="00CB0A5E">
        <w:t>Fogyasztói döntési típusok</w:t>
      </w:r>
      <w:bookmarkEnd w:id="42"/>
      <w:bookmarkEnd w:id="43"/>
    </w:p>
    <w:p w14:paraId="08277378"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Fogyasztói érdekeltség / </w:t>
      </w:r>
      <w:proofErr w:type="spellStart"/>
      <w:r w:rsidRPr="00CB0A5E">
        <w:rPr>
          <w:rFonts w:ascii="Times New Roman" w:hAnsi="Times New Roman" w:cs="Times New Roman"/>
          <w:b/>
          <w:bCs/>
          <w:sz w:val="24"/>
          <w:szCs w:val="24"/>
        </w:rPr>
        <w:t>bevonódás</w:t>
      </w:r>
      <w:proofErr w:type="spellEnd"/>
      <w:r w:rsidRPr="00CB0A5E">
        <w:rPr>
          <w:rFonts w:ascii="Times New Roman" w:hAnsi="Times New Roman" w:cs="Times New Roman"/>
          <w:b/>
          <w:bCs/>
          <w:sz w:val="24"/>
          <w:szCs w:val="24"/>
        </w:rPr>
        <w:t xml:space="preserve"> (</w:t>
      </w:r>
      <w:proofErr w:type="spellStart"/>
      <w:r w:rsidRPr="00CB0A5E">
        <w:rPr>
          <w:rFonts w:ascii="Times New Roman" w:hAnsi="Times New Roman" w:cs="Times New Roman"/>
          <w:b/>
          <w:bCs/>
          <w:sz w:val="24"/>
          <w:szCs w:val="24"/>
        </w:rPr>
        <w:t>involvement</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a fogyasztó marketingingerekre adott reakciója, amely a részvétel és az általa végzett aktív feldolgozás szintjét tükrözi.</w:t>
      </w:r>
    </w:p>
    <w:p w14:paraId="6C857E29" w14:textId="77777777" w:rsidR="003D50F2" w:rsidRPr="00CB0A5E" w:rsidRDefault="003D50F2" w:rsidP="00EC10C5">
      <w:pPr>
        <w:numPr>
          <w:ilvl w:val="0"/>
          <w:numId w:val="20"/>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Magas érdekeltség</w:t>
      </w:r>
    </w:p>
    <w:p w14:paraId="5845D43E" w14:textId="77777777" w:rsidR="003D50F2" w:rsidRPr="00FA479D" w:rsidRDefault="003D50F2" w:rsidP="00EC10C5">
      <w:pPr>
        <w:pStyle w:val="Listaszerbekezds"/>
        <w:numPr>
          <w:ilvl w:val="0"/>
          <w:numId w:val="21"/>
        </w:numPr>
        <w:spacing w:after="60" w:line="240" w:lineRule="auto"/>
        <w:rPr>
          <w:rFonts w:cs="Times New Roman"/>
          <w:szCs w:val="24"/>
        </w:rPr>
      </w:pPr>
      <w:r w:rsidRPr="00FA479D">
        <w:rPr>
          <w:rFonts w:cs="Times New Roman"/>
          <w:szCs w:val="24"/>
        </w:rPr>
        <w:t>Komplex értékelés,</w:t>
      </w:r>
    </w:p>
    <w:p w14:paraId="09EC375A" w14:textId="77777777" w:rsidR="003D50F2" w:rsidRPr="00FA479D" w:rsidRDefault="003D50F2" w:rsidP="00EC10C5">
      <w:pPr>
        <w:pStyle w:val="Listaszerbekezds"/>
        <w:numPr>
          <w:ilvl w:val="0"/>
          <w:numId w:val="21"/>
        </w:numPr>
        <w:spacing w:after="60" w:line="240" w:lineRule="auto"/>
        <w:rPr>
          <w:rFonts w:cs="Times New Roman"/>
          <w:szCs w:val="24"/>
        </w:rPr>
      </w:pPr>
      <w:r w:rsidRPr="00FA479D">
        <w:rPr>
          <w:rFonts w:cs="Times New Roman"/>
          <w:szCs w:val="24"/>
        </w:rPr>
        <w:t>Kockázatos és drága termékekkel kapcsolatos döntések</w:t>
      </w:r>
    </w:p>
    <w:p w14:paraId="46142F97" w14:textId="77777777" w:rsidR="003D50F2" w:rsidRPr="00FA479D" w:rsidRDefault="003D50F2" w:rsidP="00EC10C5">
      <w:pPr>
        <w:pStyle w:val="Listaszerbekezds"/>
        <w:numPr>
          <w:ilvl w:val="0"/>
          <w:numId w:val="21"/>
        </w:numPr>
        <w:spacing w:after="60" w:line="240" w:lineRule="auto"/>
        <w:rPr>
          <w:rFonts w:cs="Times New Roman"/>
          <w:szCs w:val="24"/>
        </w:rPr>
      </w:pPr>
      <w:r w:rsidRPr="00FA479D">
        <w:rPr>
          <w:rFonts w:cs="Times New Roman"/>
          <w:szCs w:val="24"/>
        </w:rPr>
        <w:t>Pl. Autó, ház</w:t>
      </w:r>
    </w:p>
    <w:p w14:paraId="0F72A107" w14:textId="77777777" w:rsidR="003D50F2" w:rsidRPr="00CB0A5E" w:rsidRDefault="003D50F2" w:rsidP="00EC10C5">
      <w:pPr>
        <w:numPr>
          <w:ilvl w:val="0"/>
          <w:numId w:val="20"/>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Alacsony érdekeltség</w:t>
      </w:r>
    </w:p>
    <w:p w14:paraId="3B9855F8" w14:textId="77777777" w:rsidR="003D50F2" w:rsidRPr="00CB0A5E" w:rsidRDefault="003D50F2" w:rsidP="00EC10C5">
      <w:pPr>
        <w:pStyle w:val="Listaszerbekezds"/>
        <w:numPr>
          <w:ilvl w:val="0"/>
          <w:numId w:val="21"/>
        </w:numPr>
        <w:spacing w:after="60" w:line="240" w:lineRule="auto"/>
        <w:rPr>
          <w:rFonts w:cs="Times New Roman"/>
          <w:szCs w:val="24"/>
        </w:rPr>
      </w:pPr>
      <w:r w:rsidRPr="00CB0A5E">
        <w:rPr>
          <w:rFonts w:cs="Times New Roman"/>
          <w:szCs w:val="24"/>
        </w:rPr>
        <w:t>Egyszerű értékelés,</w:t>
      </w:r>
    </w:p>
    <w:p w14:paraId="5E26EF6C" w14:textId="77777777" w:rsidR="003D50F2" w:rsidRPr="00CB0A5E" w:rsidRDefault="003D50F2" w:rsidP="00EC10C5">
      <w:pPr>
        <w:pStyle w:val="Listaszerbekezds"/>
        <w:numPr>
          <w:ilvl w:val="0"/>
          <w:numId w:val="21"/>
        </w:numPr>
        <w:spacing w:after="60" w:line="240" w:lineRule="auto"/>
        <w:rPr>
          <w:rFonts w:cs="Times New Roman"/>
          <w:szCs w:val="24"/>
        </w:rPr>
      </w:pPr>
      <w:r w:rsidRPr="00CB0A5E">
        <w:rPr>
          <w:rFonts w:cs="Times New Roman"/>
          <w:szCs w:val="24"/>
        </w:rPr>
        <w:t xml:space="preserve">Alacsony kockázatú és általában olcsó termékek </w:t>
      </w:r>
    </w:p>
    <w:p w14:paraId="16BBE465" w14:textId="77777777" w:rsidR="003D50F2" w:rsidRPr="00DB0E3D" w:rsidRDefault="003D50F2" w:rsidP="00EC10C5">
      <w:pPr>
        <w:pStyle w:val="Listaszerbekezds"/>
        <w:numPr>
          <w:ilvl w:val="5"/>
          <w:numId w:val="22"/>
        </w:numPr>
        <w:spacing w:after="60" w:line="240" w:lineRule="auto"/>
        <w:ind w:left="2127" w:hanging="142"/>
        <w:rPr>
          <w:rFonts w:cs="Times New Roman"/>
          <w:szCs w:val="24"/>
        </w:rPr>
      </w:pPr>
      <w:r w:rsidRPr="00DB0E3D">
        <w:rPr>
          <w:rFonts w:cs="Times New Roman"/>
          <w:szCs w:val="24"/>
        </w:rPr>
        <w:t>Pl. Fogkrém, tej, édesség</w:t>
      </w:r>
    </w:p>
    <w:p w14:paraId="4135A838" w14:textId="77777777" w:rsidR="003D50F2" w:rsidRPr="00CB0A5E" w:rsidRDefault="003D50F2" w:rsidP="00EC10C5">
      <w:pPr>
        <w:spacing w:after="60" w:line="240" w:lineRule="auto"/>
        <w:ind w:left="1440" w:firstLine="709"/>
        <w:jc w:val="both"/>
        <w:rPr>
          <w:rFonts w:ascii="Times New Roman" w:hAnsi="Times New Roman" w:cs="Times New Roman"/>
          <w:sz w:val="24"/>
          <w:szCs w:val="24"/>
        </w:rPr>
      </w:pPr>
    </w:p>
    <w:p w14:paraId="428348A8" w14:textId="430FD6D8" w:rsidR="003D50F2"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r w:rsidRPr="0001325B">
        <w:rPr>
          <w:rFonts w:ascii="Times New Roman" w:hAnsi="Times New Roman" w:cs="Times New Roman"/>
          <w:b/>
          <w:i w:val="0"/>
          <w:color w:val="000000" w:themeColor="text1"/>
          <w:sz w:val="24"/>
          <w:szCs w:val="24"/>
        </w:rPr>
        <w:t>13</w:t>
      </w:r>
      <w:r w:rsidR="003D50F2" w:rsidRPr="0001325B">
        <w:rPr>
          <w:rFonts w:ascii="Times New Roman" w:hAnsi="Times New Roman" w:cs="Times New Roman"/>
          <w:b/>
          <w:i w:val="0"/>
          <w:color w:val="000000" w:themeColor="text1"/>
          <w:sz w:val="24"/>
          <w:szCs w:val="24"/>
        </w:rPr>
        <w:t>. ábra A vásárlási magatartás típusai – fogyasztói érdekeltség</w:t>
      </w:r>
    </w:p>
    <w:p w14:paraId="4187267B"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6BAD0D63" wp14:editId="4BB0938F">
            <wp:extent cx="5598000" cy="244800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8000" cy="2448000"/>
                    </a:xfrm>
                    <a:prstGeom prst="rect">
                      <a:avLst/>
                    </a:prstGeom>
                    <a:noFill/>
                  </pic:spPr>
                </pic:pic>
              </a:graphicData>
            </a:graphic>
          </wp:inline>
        </w:drawing>
      </w:r>
    </w:p>
    <w:p w14:paraId="78DC012A" w14:textId="77777777" w:rsidR="003D50F2" w:rsidRPr="00CB0A5E" w:rsidRDefault="003D50F2" w:rsidP="00EC10C5">
      <w:pPr>
        <w:spacing w:after="60" w:line="240" w:lineRule="auto"/>
        <w:ind w:firstLine="709"/>
        <w:jc w:val="center"/>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2B25A936"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5ED94752" w14:textId="77777777" w:rsidR="003D50F2" w:rsidRPr="00CB0A5E" w:rsidRDefault="003D50F2" w:rsidP="00EC10C5">
      <w:pPr>
        <w:numPr>
          <w:ilvl w:val="0"/>
          <w:numId w:val="23"/>
        </w:numPr>
        <w:tabs>
          <w:tab w:val="clear" w:pos="360"/>
          <w:tab w:val="num" w:pos="709"/>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Komplex vásárlási magatartás </w:t>
      </w:r>
      <w:r w:rsidRPr="00CB0A5E">
        <w:rPr>
          <w:rFonts w:ascii="Times New Roman" w:hAnsi="Times New Roman" w:cs="Times New Roman"/>
          <w:sz w:val="24"/>
          <w:szCs w:val="24"/>
        </w:rPr>
        <w:t xml:space="preserve">- fogyasztók nagymértékben érdekeltek a vásárlásban, és a márkák között jelentős eltéréseket tapasztalnak. </w:t>
      </w:r>
      <w:proofErr w:type="gramStart"/>
      <w:r w:rsidRPr="00CB0A5E">
        <w:rPr>
          <w:rFonts w:ascii="Times New Roman" w:hAnsi="Times New Roman" w:cs="Times New Roman"/>
          <w:sz w:val="24"/>
          <w:szCs w:val="24"/>
        </w:rPr>
        <w:t>Pl.</w:t>
      </w:r>
      <w:proofErr w:type="gramEnd"/>
      <w:r w:rsidRPr="00CB0A5E">
        <w:rPr>
          <w:rFonts w:ascii="Times New Roman" w:hAnsi="Times New Roman" w:cs="Times New Roman"/>
          <w:sz w:val="24"/>
          <w:szCs w:val="24"/>
        </w:rPr>
        <w:t xml:space="preserve"> ha a termék drága, kockázatos, ritkán vásárolható és jellemzően a fogyasztói önkifejezés eszköze lehet.</w:t>
      </w:r>
    </w:p>
    <w:p w14:paraId="5091F24D" w14:textId="77777777" w:rsidR="003D50F2" w:rsidRPr="00CB0A5E" w:rsidRDefault="003D50F2" w:rsidP="00EC10C5">
      <w:pPr>
        <w:numPr>
          <w:ilvl w:val="0"/>
          <w:numId w:val="23"/>
        </w:numPr>
        <w:tabs>
          <w:tab w:val="clear" w:pos="360"/>
          <w:tab w:val="num" w:pos="709"/>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Disszonancia-csökkentő vásárlási magatartás </w:t>
      </w:r>
      <w:r w:rsidRPr="00CB0A5E">
        <w:rPr>
          <w:rFonts w:ascii="Times New Roman" w:hAnsi="Times New Roman" w:cs="Times New Roman"/>
          <w:sz w:val="24"/>
          <w:szCs w:val="24"/>
        </w:rPr>
        <w:t>- a fogyasztók nagymértékben érintettek / érdekeltek egy drága, ritka vagy kockázatos vásárlás során, de a márkák között nem nagy az eltérés.</w:t>
      </w:r>
    </w:p>
    <w:p w14:paraId="0A0941D4" w14:textId="77777777" w:rsidR="003D50F2" w:rsidRPr="00CB0A5E" w:rsidRDefault="003D50F2" w:rsidP="00EC10C5">
      <w:pPr>
        <w:numPr>
          <w:ilvl w:val="0"/>
          <w:numId w:val="23"/>
        </w:numPr>
        <w:tabs>
          <w:tab w:val="clear" w:pos="360"/>
          <w:tab w:val="num" w:pos="709"/>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szokásokon alapuló vásárlási magatartás </w:t>
      </w:r>
      <w:r w:rsidRPr="00CB0A5E">
        <w:rPr>
          <w:rFonts w:ascii="Times New Roman" w:hAnsi="Times New Roman" w:cs="Times New Roman"/>
          <w:sz w:val="24"/>
          <w:szCs w:val="24"/>
        </w:rPr>
        <w:t>alacsony fogyasztói érdekeltséggel és kevés jelentéktelen márka-különbséggel jön létre.</w:t>
      </w:r>
    </w:p>
    <w:p w14:paraId="202F0AEE" w14:textId="77777777" w:rsidR="003D50F2" w:rsidRPr="00CB0A5E" w:rsidRDefault="003D50F2" w:rsidP="00EC10C5">
      <w:pPr>
        <w:numPr>
          <w:ilvl w:val="0"/>
          <w:numId w:val="23"/>
        </w:numPr>
        <w:tabs>
          <w:tab w:val="clear" w:pos="360"/>
          <w:tab w:val="num" w:pos="709"/>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Változatosságot-kereső vásárlási magatartás </w:t>
      </w:r>
      <w:r w:rsidRPr="00CB0A5E">
        <w:rPr>
          <w:rFonts w:ascii="Times New Roman" w:hAnsi="Times New Roman" w:cs="Times New Roman"/>
          <w:sz w:val="24"/>
          <w:szCs w:val="24"/>
        </w:rPr>
        <w:t>- az alacsony fogyasztói érdekeltséggel jellemezhető helyzetek, ahol jelentős különbségek vannak a márkák között. Ilyen esetekben a fogyasztók gyakran váltogatnak a márkát között.</w:t>
      </w:r>
    </w:p>
    <w:p w14:paraId="47C306AE" w14:textId="77777777" w:rsidR="0001325B" w:rsidRDefault="0001325B" w:rsidP="00EC10C5">
      <w:pPr>
        <w:pStyle w:val="Stlus1"/>
      </w:pPr>
      <w:bookmarkStart w:id="44" w:name="_Toc1568862"/>
      <w:bookmarkStart w:id="45" w:name="_Toc18440824"/>
    </w:p>
    <w:p w14:paraId="1FE42039" w14:textId="77777777" w:rsidR="003D50F2" w:rsidRPr="00CB0A5E" w:rsidRDefault="003D50F2" w:rsidP="00EC10C5">
      <w:pPr>
        <w:pStyle w:val="Stlus1"/>
      </w:pPr>
      <w:r w:rsidRPr="00CB0A5E">
        <w:lastRenderedPageBreak/>
        <w:t>A vásárlási döntési folyamat</w:t>
      </w:r>
      <w:bookmarkEnd w:id="44"/>
      <w:bookmarkEnd w:id="45"/>
    </w:p>
    <w:p w14:paraId="0DB4EA79" w14:textId="4C74250C"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Miután megvizsgáltuk, hogy milyen tényezők befolyásolják a vevőket egy termék választásakor, most megmutatjuk, hogy milyen folyamaton keresztül jut el a vevő a végső döntésig vásárlásakor. A vásárlási döntési folyamat (</w:t>
      </w:r>
      <w:r w:rsidRPr="00CB0A5E">
        <w:rPr>
          <w:rFonts w:ascii="Times New Roman" w:hAnsi="Times New Roman" w:cs="Times New Roman"/>
          <w:sz w:val="24"/>
          <w:szCs w:val="24"/>
        </w:rPr>
        <w:fldChar w:fldCharType="begin"/>
      </w:r>
      <w:r w:rsidRPr="00CB0A5E">
        <w:rPr>
          <w:rFonts w:ascii="Times New Roman" w:hAnsi="Times New Roman" w:cs="Times New Roman"/>
          <w:sz w:val="24"/>
          <w:szCs w:val="24"/>
        </w:rPr>
        <w:instrText xml:space="preserve"> REF _Ref1462617 \h  \* MERGEFORMAT </w:instrText>
      </w:r>
      <w:r w:rsidRPr="00CB0A5E">
        <w:rPr>
          <w:rFonts w:ascii="Times New Roman" w:hAnsi="Times New Roman" w:cs="Times New Roman"/>
          <w:sz w:val="24"/>
          <w:szCs w:val="24"/>
        </w:rPr>
      </w:r>
      <w:r w:rsidRPr="00CB0A5E">
        <w:rPr>
          <w:rFonts w:ascii="Times New Roman" w:hAnsi="Times New Roman" w:cs="Times New Roman"/>
          <w:sz w:val="24"/>
          <w:szCs w:val="24"/>
        </w:rPr>
        <w:fldChar w:fldCharType="separate"/>
      </w:r>
      <w:r w:rsidR="006C213D" w:rsidRPr="006C213D">
        <w:rPr>
          <w:rFonts w:ascii="Times New Roman" w:hAnsi="Times New Roman" w:cs="Times New Roman"/>
          <w:noProof/>
          <w:sz w:val="24"/>
          <w:szCs w:val="24"/>
        </w:rPr>
        <w:t>14</w:t>
      </w:r>
      <w:r w:rsidR="006C213D" w:rsidRPr="006C213D">
        <w:rPr>
          <w:rFonts w:ascii="Times New Roman" w:hAnsi="Times New Roman" w:cs="Times New Roman"/>
          <w:sz w:val="24"/>
          <w:szCs w:val="24"/>
        </w:rPr>
        <w:t>. ábra</w:t>
      </w:r>
      <w:r w:rsidRPr="00CB0A5E">
        <w:rPr>
          <w:rFonts w:ascii="Times New Roman" w:hAnsi="Times New Roman" w:cs="Times New Roman"/>
          <w:sz w:val="24"/>
          <w:szCs w:val="24"/>
        </w:rPr>
        <w:fldChar w:fldCharType="end"/>
      </w:r>
      <w:r w:rsidRPr="00CB0A5E">
        <w:rPr>
          <w:rFonts w:ascii="Times New Roman" w:hAnsi="Times New Roman" w:cs="Times New Roman"/>
          <w:sz w:val="24"/>
          <w:szCs w:val="24"/>
        </w:rPr>
        <w:t xml:space="preserve">) öt szakaszból áll: a probléma felismerése, az információkeresés, az alternatívák értékelése, </w:t>
      </w:r>
      <w:proofErr w:type="gramStart"/>
      <w:r w:rsidRPr="00CB0A5E">
        <w:rPr>
          <w:rFonts w:ascii="Times New Roman" w:hAnsi="Times New Roman" w:cs="Times New Roman"/>
          <w:sz w:val="24"/>
          <w:szCs w:val="24"/>
        </w:rPr>
        <w:t>a vásárlási döntés,</w:t>
      </w:r>
      <w:proofErr w:type="gramEnd"/>
      <w:r w:rsidRPr="00CB0A5E">
        <w:rPr>
          <w:rFonts w:ascii="Times New Roman" w:hAnsi="Times New Roman" w:cs="Times New Roman"/>
          <w:sz w:val="24"/>
          <w:szCs w:val="24"/>
        </w:rPr>
        <w:t xml:space="preserve"> és a döntés utáni magatartás.  </w:t>
      </w:r>
    </w:p>
    <w:p w14:paraId="7093ED89" w14:textId="77777777" w:rsidR="003D50F2" w:rsidRPr="0001325B" w:rsidRDefault="003D50F2" w:rsidP="00EC10C5">
      <w:pPr>
        <w:pStyle w:val="Kpalrs"/>
        <w:spacing w:after="60"/>
        <w:ind w:firstLine="709"/>
        <w:jc w:val="center"/>
        <w:rPr>
          <w:rFonts w:ascii="Times New Roman" w:hAnsi="Times New Roman" w:cs="Times New Roman"/>
          <w:b/>
          <w:i w:val="0"/>
          <w:color w:val="000000" w:themeColor="text1"/>
          <w:sz w:val="24"/>
          <w:szCs w:val="24"/>
        </w:rPr>
      </w:pPr>
      <w:bookmarkStart w:id="46" w:name="_Ref1462617"/>
      <w:r w:rsidRPr="0001325B">
        <w:rPr>
          <w:rFonts w:ascii="Times New Roman" w:hAnsi="Times New Roman" w:cs="Times New Roman"/>
          <w:b/>
          <w:i w:val="0"/>
          <w:noProof/>
          <w:color w:val="000000" w:themeColor="text1"/>
          <w:sz w:val="24"/>
          <w:szCs w:val="24"/>
          <w:lang w:eastAsia="hu-HU"/>
        </w:rPr>
        <w:drawing>
          <wp:anchor distT="0" distB="0" distL="114300" distR="114300" simplePos="0" relativeHeight="251671552" behindDoc="0" locked="0" layoutInCell="1" allowOverlap="1" wp14:anchorId="417902D1" wp14:editId="5A6DEFF4">
            <wp:simplePos x="0" y="0"/>
            <wp:positionH relativeFrom="column">
              <wp:posOffset>-1905</wp:posOffset>
            </wp:positionH>
            <wp:positionV relativeFrom="paragraph">
              <wp:posOffset>362585</wp:posOffset>
            </wp:positionV>
            <wp:extent cx="5760720" cy="1086485"/>
            <wp:effectExtent l="0" t="0" r="3048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r w:rsidR="00062572" w:rsidRPr="0001325B">
        <w:rPr>
          <w:rFonts w:ascii="Times New Roman" w:hAnsi="Times New Roman" w:cs="Times New Roman"/>
          <w:b/>
          <w:i w:val="0"/>
          <w:color w:val="000000" w:themeColor="text1"/>
          <w:sz w:val="24"/>
          <w:szCs w:val="24"/>
        </w:rPr>
        <w:t>14</w:t>
      </w:r>
      <w:r w:rsidRPr="0001325B">
        <w:rPr>
          <w:rFonts w:ascii="Times New Roman" w:hAnsi="Times New Roman" w:cs="Times New Roman"/>
          <w:b/>
          <w:i w:val="0"/>
          <w:color w:val="000000" w:themeColor="text1"/>
          <w:sz w:val="24"/>
          <w:szCs w:val="24"/>
        </w:rPr>
        <w:t>. ábra</w:t>
      </w:r>
      <w:bookmarkEnd w:id="46"/>
      <w:r w:rsidRPr="0001325B">
        <w:rPr>
          <w:rFonts w:ascii="Times New Roman" w:hAnsi="Times New Roman" w:cs="Times New Roman"/>
          <w:b/>
          <w:i w:val="0"/>
          <w:color w:val="000000" w:themeColor="text1"/>
          <w:sz w:val="24"/>
          <w:szCs w:val="24"/>
        </w:rPr>
        <w:t xml:space="preserve"> A vásárlási döntési folyamat</w:t>
      </w:r>
    </w:p>
    <w:p w14:paraId="760C88D8" w14:textId="77777777" w:rsidR="003D50F2" w:rsidRPr="00CB0A5E" w:rsidRDefault="003D50F2"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59EAABD8" w14:textId="77777777" w:rsidR="003D50F2" w:rsidRPr="00CB0A5E" w:rsidRDefault="003D50F2" w:rsidP="00EC10C5">
      <w:pPr>
        <w:pStyle w:val="Kpalrs"/>
        <w:spacing w:after="60"/>
        <w:ind w:firstLine="709"/>
        <w:jc w:val="both"/>
        <w:rPr>
          <w:rFonts w:ascii="Times New Roman" w:hAnsi="Times New Roman" w:cs="Times New Roman"/>
          <w:sz w:val="24"/>
          <w:szCs w:val="24"/>
        </w:rPr>
      </w:pPr>
    </w:p>
    <w:p w14:paraId="1ACF7488"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probléma felismerés</w:t>
      </w:r>
      <w:r w:rsidRPr="00CB0A5E">
        <w:rPr>
          <w:rFonts w:ascii="Times New Roman" w:hAnsi="Times New Roman" w:cs="Times New Roman"/>
          <w:sz w:val="24"/>
          <w:szCs w:val="24"/>
        </w:rPr>
        <w:t xml:space="preserve"> a vásárlási folyamat első szakasza, amely során a fogyasztó tudatosítja, hogy szüksége van az adott termékre. Az igény megjelenhet belső ösztönzés hatására (pl. éhség), vagy külső hatásra (ismerős ajánlása, </w:t>
      </w:r>
      <w:proofErr w:type="gramStart"/>
      <w:r w:rsidRPr="00CB0A5E">
        <w:rPr>
          <w:rFonts w:ascii="Times New Roman" w:hAnsi="Times New Roman" w:cs="Times New Roman"/>
          <w:sz w:val="24"/>
          <w:szCs w:val="24"/>
        </w:rPr>
        <w:t>reklám,..</w:t>
      </w:r>
      <w:proofErr w:type="gramEnd"/>
      <w:r w:rsidRPr="00CB0A5E">
        <w:rPr>
          <w:rFonts w:ascii="Times New Roman" w:hAnsi="Times New Roman" w:cs="Times New Roman"/>
          <w:sz w:val="24"/>
          <w:szCs w:val="24"/>
        </w:rPr>
        <w:t xml:space="preserve">).   </w:t>
      </w:r>
    </w:p>
    <w:p w14:paraId="23B650F0"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Az információkeresés</w:t>
      </w:r>
      <w:r w:rsidRPr="00CB0A5E">
        <w:rPr>
          <w:rFonts w:ascii="Times New Roman" w:hAnsi="Times New Roman" w:cs="Times New Roman"/>
          <w:sz w:val="24"/>
          <w:szCs w:val="24"/>
        </w:rPr>
        <w:t xml:space="preserve"> a vásárlási folyamat azon szakasza, amely során a fogyasztó motivált arra, hogy információt gyűjtsön. Az információkeresés során az egyén használhat belső és külső információforrásokat. Belső információforrás a saját korábbi tapasztalat, tudás. Külső információforrások lehetnek például a személyes források (család, </w:t>
      </w:r>
      <w:proofErr w:type="gramStart"/>
      <w:r w:rsidRPr="00CB0A5E">
        <w:rPr>
          <w:rFonts w:ascii="Times New Roman" w:hAnsi="Times New Roman" w:cs="Times New Roman"/>
          <w:sz w:val="24"/>
          <w:szCs w:val="24"/>
        </w:rPr>
        <w:t>ismerős, ..</w:t>
      </w:r>
      <w:proofErr w:type="gramEnd"/>
      <w:r w:rsidRPr="00CB0A5E">
        <w:rPr>
          <w:rFonts w:ascii="Times New Roman" w:hAnsi="Times New Roman" w:cs="Times New Roman"/>
          <w:sz w:val="24"/>
          <w:szCs w:val="24"/>
        </w:rPr>
        <w:t>), kereskedelmi források (média, értékesítők, gyártói weboldalak), nyilvános források (közösségi média, fogyasztói értékelések), tapasztalati források (kipróbálás, használat).</w:t>
      </w:r>
    </w:p>
    <w:p w14:paraId="244BBE43"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Az alternatív</w:t>
      </w:r>
      <w:r w:rsidR="009D6142" w:rsidRPr="00CB0A5E">
        <w:rPr>
          <w:rFonts w:ascii="Times New Roman" w:hAnsi="Times New Roman" w:cs="Times New Roman"/>
          <w:b/>
          <w:sz w:val="24"/>
          <w:szCs w:val="24"/>
        </w:rPr>
        <w:t>ák</w:t>
      </w:r>
      <w:r w:rsidRPr="00CB0A5E">
        <w:rPr>
          <w:rFonts w:ascii="Times New Roman" w:hAnsi="Times New Roman" w:cs="Times New Roman"/>
          <w:b/>
          <w:sz w:val="24"/>
          <w:szCs w:val="24"/>
        </w:rPr>
        <w:t xml:space="preserve"> értékelés</w:t>
      </w:r>
      <w:r w:rsidR="009D6142" w:rsidRPr="00CB0A5E">
        <w:rPr>
          <w:rFonts w:ascii="Times New Roman" w:hAnsi="Times New Roman" w:cs="Times New Roman"/>
          <w:b/>
          <w:sz w:val="24"/>
          <w:szCs w:val="24"/>
        </w:rPr>
        <w:t>e</w:t>
      </w:r>
      <w:r w:rsidRPr="00CB0A5E">
        <w:rPr>
          <w:rFonts w:ascii="Times New Roman" w:hAnsi="Times New Roman" w:cs="Times New Roman"/>
          <w:sz w:val="24"/>
          <w:szCs w:val="24"/>
        </w:rPr>
        <w:t xml:space="preserve"> a vásárlói döntési folyamat azon szakasza, amelyben a fogyasztó az összegyűjtött információk alapján értékeli az egyes alternatívákat. Az összes alternatívát leszűkíti a megfontolásra szánt alternatívák halmazára – ezek olyan alternatívák, amelyeket a fogyasztó a vásárlás előtt komolyan mérlegel. </w:t>
      </w:r>
    </w:p>
    <w:p w14:paraId="08CED73A"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vásárlási döntés</w:t>
      </w:r>
      <w:r w:rsidRPr="00CB0A5E">
        <w:rPr>
          <w:rFonts w:ascii="Times New Roman" w:hAnsi="Times New Roman" w:cs="Times New Roman"/>
          <w:sz w:val="24"/>
          <w:szCs w:val="24"/>
        </w:rPr>
        <w:t xml:space="preserve"> a vevő döntése arról, hogy melyik márkát vásárolja meg. A vásárlási szándék nem biztos, hogy vásárlási döntés, mert a vásárlót befolyásolhatják mások attitűdjei, váratlan vásárlási helyzetek (váratlan esemény, az észlelt kockázat mértéke). </w:t>
      </w:r>
    </w:p>
    <w:p w14:paraId="0223791B"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észlelt kockázat tekintetében különböző kockázati tényezőket különböztetünk meg: </w:t>
      </w:r>
    </w:p>
    <w:p w14:paraId="25E9BAA8" w14:textId="77777777" w:rsidR="003D50F2" w:rsidRPr="00CB0A5E" w:rsidRDefault="003D50F2" w:rsidP="00EC10C5">
      <w:pPr>
        <w:pStyle w:val="Listaszerbekezds"/>
        <w:numPr>
          <w:ilvl w:val="0"/>
          <w:numId w:val="24"/>
        </w:numPr>
        <w:spacing w:after="60" w:line="240" w:lineRule="auto"/>
        <w:ind w:left="567" w:firstLine="698"/>
        <w:rPr>
          <w:rFonts w:cs="Times New Roman"/>
          <w:szCs w:val="24"/>
        </w:rPr>
      </w:pPr>
      <w:r w:rsidRPr="00CB0A5E">
        <w:rPr>
          <w:rFonts w:cs="Times New Roman"/>
          <w:szCs w:val="24"/>
        </w:rPr>
        <w:t>Funkcionális kockázat: a termék nem a várakozásoknak megfelelően teljesít.</w:t>
      </w:r>
    </w:p>
    <w:p w14:paraId="12AA7B34" w14:textId="77777777" w:rsidR="003D50F2" w:rsidRPr="00CB0A5E" w:rsidRDefault="003D50F2" w:rsidP="00EC10C5">
      <w:pPr>
        <w:pStyle w:val="Listaszerbekezds"/>
        <w:numPr>
          <w:ilvl w:val="0"/>
          <w:numId w:val="24"/>
        </w:numPr>
        <w:spacing w:after="60" w:line="240" w:lineRule="auto"/>
        <w:ind w:left="567" w:firstLine="698"/>
        <w:rPr>
          <w:rFonts w:cs="Times New Roman"/>
          <w:szCs w:val="24"/>
        </w:rPr>
      </w:pPr>
      <w:r w:rsidRPr="00CB0A5E">
        <w:rPr>
          <w:rFonts w:cs="Times New Roman"/>
          <w:szCs w:val="24"/>
        </w:rPr>
        <w:t>Fizikai kockázat: a termék veszélyezteti használója vagy mások testi épségét vagy egészségét.</w:t>
      </w:r>
    </w:p>
    <w:p w14:paraId="31453EE7" w14:textId="77777777" w:rsidR="003D50F2" w:rsidRPr="00CB0A5E" w:rsidRDefault="003D50F2" w:rsidP="00EC10C5">
      <w:pPr>
        <w:pStyle w:val="Listaszerbekezds"/>
        <w:numPr>
          <w:ilvl w:val="0"/>
          <w:numId w:val="24"/>
        </w:numPr>
        <w:spacing w:after="60" w:line="240" w:lineRule="auto"/>
        <w:ind w:left="567" w:firstLine="698"/>
        <w:rPr>
          <w:rFonts w:cs="Times New Roman"/>
          <w:szCs w:val="24"/>
        </w:rPr>
      </w:pPr>
      <w:r w:rsidRPr="00CB0A5E">
        <w:rPr>
          <w:rFonts w:cs="Times New Roman"/>
          <w:szCs w:val="24"/>
        </w:rPr>
        <w:t>Pénzügyi kockázat: a termék nem éri meg az árát.</w:t>
      </w:r>
    </w:p>
    <w:p w14:paraId="488AE28F" w14:textId="77777777" w:rsidR="003D50F2" w:rsidRPr="00CB0A5E" w:rsidRDefault="003D50F2" w:rsidP="00EC10C5">
      <w:pPr>
        <w:pStyle w:val="Listaszerbekezds"/>
        <w:numPr>
          <w:ilvl w:val="0"/>
          <w:numId w:val="24"/>
        </w:numPr>
        <w:spacing w:after="60" w:line="240" w:lineRule="auto"/>
        <w:ind w:left="567" w:firstLine="698"/>
        <w:rPr>
          <w:rFonts w:cs="Times New Roman"/>
          <w:szCs w:val="24"/>
        </w:rPr>
      </w:pPr>
      <w:r w:rsidRPr="00CB0A5E">
        <w:rPr>
          <w:rFonts w:cs="Times New Roman"/>
          <w:szCs w:val="24"/>
        </w:rPr>
        <w:t>Társadalmi kockázat: a termék miatt mások előtt szégyenkezni kell.</w:t>
      </w:r>
    </w:p>
    <w:p w14:paraId="13225C19" w14:textId="77777777" w:rsidR="003D50F2" w:rsidRPr="00CB0A5E" w:rsidRDefault="003D50F2" w:rsidP="00EC10C5">
      <w:pPr>
        <w:pStyle w:val="Listaszerbekezds"/>
        <w:numPr>
          <w:ilvl w:val="0"/>
          <w:numId w:val="24"/>
        </w:numPr>
        <w:spacing w:after="60" w:line="240" w:lineRule="auto"/>
        <w:ind w:left="567" w:firstLine="698"/>
        <w:rPr>
          <w:rFonts w:cs="Times New Roman"/>
          <w:szCs w:val="24"/>
        </w:rPr>
      </w:pPr>
      <w:r w:rsidRPr="00CB0A5E">
        <w:rPr>
          <w:rFonts w:cs="Times New Roman"/>
          <w:szCs w:val="24"/>
        </w:rPr>
        <w:t>Pszichológiai kockázat: a termék kihat a használó szellemi egészségére.</w:t>
      </w:r>
    </w:p>
    <w:p w14:paraId="2833DDE3" w14:textId="77777777" w:rsidR="003D50F2" w:rsidRPr="00CB0A5E" w:rsidRDefault="003D50F2" w:rsidP="00EC10C5">
      <w:pPr>
        <w:pStyle w:val="Listaszerbekezds"/>
        <w:numPr>
          <w:ilvl w:val="0"/>
          <w:numId w:val="24"/>
        </w:numPr>
        <w:spacing w:after="60" w:line="240" w:lineRule="auto"/>
        <w:ind w:left="567" w:firstLine="698"/>
        <w:rPr>
          <w:rFonts w:cs="Times New Roman"/>
          <w:szCs w:val="24"/>
        </w:rPr>
      </w:pPr>
      <w:r w:rsidRPr="00CB0A5E">
        <w:rPr>
          <w:rFonts w:cs="Times New Roman"/>
          <w:szCs w:val="24"/>
        </w:rPr>
        <w:t>Időbeli kockázat: a termék meghibásodása azzal az alternatív költséggel jár, hogy keresni kell egy másik, kielégítő terméket.</w:t>
      </w:r>
    </w:p>
    <w:p w14:paraId="68D406C8"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vásárlás utáni magatartás</w:t>
      </w:r>
      <w:r w:rsidRPr="00CB0A5E">
        <w:rPr>
          <w:rFonts w:ascii="Times New Roman" w:hAnsi="Times New Roman" w:cs="Times New Roman"/>
          <w:sz w:val="24"/>
          <w:szCs w:val="24"/>
        </w:rPr>
        <w:t xml:space="preserve"> a vásárlói döntési folyamat azon szakasza, amelyben a vásárlók a vásárlást követően értékelik a döntésüket, elégedettségük vagy elégedetlenségük alapján. Az elégedettség függ attól, hogy a megvásárolt termék teljesítménye mennyire felel meg az előzetes elvárásoknak. Kognitív disszonancia a vásárlás után érzett diszkomfort érzet, amely főleg komplex vásárlási döntés esetében jelentkezik. Megjelenésének oka lehet, hogy egy összetett döntés után a fogyasztó bizonytalan a döntés helyességében, illetve a választott termék miatt lemondott más, alternatív opciókról. A fogyasztó vásárlás utáni elégedettsége </w:t>
      </w:r>
      <w:r w:rsidRPr="00CB0A5E">
        <w:rPr>
          <w:rFonts w:ascii="Times New Roman" w:hAnsi="Times New Roman" w:cs="Times New Roman"/>
          <w:sz w:val="24"/>
          <w:szCs w:val="24"/>
        </w:rPr>
        <w:lastRenderedPageBreak/>
        <w:t xml:space="preserve">kulcsfontosságú a vállalatok számára. Az elégedett fogyasztó nagyobb valószínűséggel </w:t>
      </w:r>
      <w:proofErr w:type="spellStart"/>
      <w:r w:rsidRPr="00CB0A5E">
        <w:rPr>
          <w:rFonts w:ascii="Times New Roman" w:hAnsi="Times New Roman" w:cs="Times New Roman"/>
          <w:sz w:val="24"/>
          <w:szCs w:val="24"/>
        </w:rPr>
        <w:t>újravásárol</w:t>
      </w:r>
      <w:proofErr w:type="spellEnd"/>
      <w:r w:rsidRPr="00CB0A5E">
        <w:rPr>
          <w:rFonts w:ascii="Times New Roman" w:hAnsi="Times New Roman" w:cs="Times New Roman"/>
          <w:sz w:val="24"/>
          <w:szCs w:val="24"/>
        </w:rPr>
        <w:t xml:space="preserve">, az elégedetlen a vállalat rossz hírét keltheti (negatív szóbeszéd - </w:t>
      </w:r>
      <w:proofErr w:type="spellStart"/>
      <w:r w:rsidRPr="00CB0A5E">
        <w:rPr>
          <w:rFonts w:ascii="Times New Roman" w:hAnsi="Times New Roman" w:cs="Times New Roman"/>
          <w:sz w:val="24"/>
          <w:szCs w:val="24"/>
        </w:rPr>
        <w:t>word</w:t>
      </w:r>
      <w:proofErr w:type="spellEnd"/>
      <w:r w:rsidRPr="00CB0A5E">
        <w:rPr>
          <w:rFonts w:ascii="Times New Roman" w:hAnsi="Times New Roman" w:cs="Times New Roman"/>
          <w:sz w:val="24"/>
          <w:szCs w:val="24"/>
        </w:rPr>
        <w:t xml:space="preserve"> of </w:t>
      </w:r>
      <w:proofErr w:type="spellStart"/>
      <w:r w:rsidRPr="00CB0A5E">
        <w:rPr>
          <w:rFonts w:ascii="Times New Roman" w:hAnsi="Times New Roman" w:cs="Times New Roman"/>
          <w:sz w:val="24"/>
          <w:szCs w:val="24"/>
        </w:rPr>
        <w:t>mouth</w:t>
      </w:r>
      <w:proofErr w:type="spellEnd"/>
      <w:r w:rsidRPr="00CB0A5E">
        <w:rPr>
          <w:rFonts w:ascii="Times New Roman" w:hAnsi="Times New Roman" w:cs="Times New Roman"/>
          <w:sz w:val="24"/>
          <w:szCs w:val="24"/>
        </w:rPr>
        <w:t>).</w:t>
      </w:r>
    </w:p>
    <w:p w14:paraId="29152523" w14:textId="77777777" w:rsidR="0001325B" w:rsidRDefault="0001325B" w:rsidP="00EC10C5">
      <w:pPr>
        <w:pStyle w:val="Stlus1"/>
      </w:pPr>
      <w:bookmarkStart w:id="47" w:name="_Toc1568863"/>
      <w:bookmarkStart w:id="48" w:name="_Toc18440825"/>
    </w:p>
    <w:p w14:paraId="2B3E7A92" w14:textId="77777777" w:rsidR="0001325B" w:rsidRDefault="0001325B" w:rsidP="00EC10C5">
      <w:pPr>
        <w:pStyle w:val="Stlus1"/>
      </w:pPr>
    </w:p>
    <w:p w14:paraId="16F0F820" w14:textId="77777777" w:rsidR="003D50F2" w:rsidRPr="00CB0A5E" w:rsidRDefault="003D50F2" w:rsidP="00EC10C5">
      <w:pPr>
        <w:pStyle w:val="Stlus1"/>
      </w:pPr>
      <w:r w:rsidRPr="00CB0A5E">
        <w:t>A fogyasztók alternatíva értékelési stratégiái komplex termék esetén</w:t>
      </w:r>
      <w:bookmarkEnd w:id="47"/>
      <w:bookmarkEnd w:id="48"/>
    </w:p>
    <w:p w14:paraId="356BA93C"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Minél komplexebb termékkel kapcsolatosan kell a fogyasztónak döntenie, annál több az attribútumok vagy lehetőségek száma, annál bonyolultabb döntési szituációval kell a fogyasztónak szembenéznie. A fogyasztó döntési stratégiáit szerint négy alapvető szempont határozta meg: az összes feldolgozandó információ mennyisége, szelekció az információ feldolgozása során, a feldolgozás mintázata, kompenzáló vagy nem kompenzáló stratégia használata. </w:t>
      </w:r>
      <w:proofErr w:type="spellStart"/>
      <w:r w:rsidRPr="00CB0A5E">
        <w:rPr>
          <w:rFonts w:ascii="Times New Roman" w:hAnsi="Times New Roman" w:cs="Times New Roman"/>
          <w:sz w:val="24"/>
          <w:szCs w:val="24"/>
        </w:rPr>
        <w:t>Bettman</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Luce</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Payne</w:t>
      </w:r>
      <w:proofErr w:type="spellEnd"/>
      <w:r w:rsidRPr="00CB0A5E">
        <w:rPr>
          <w:rFonts w:ascii="Times New Roman" w:hAnsi="Times New Roman" w:cs="Times New Roman"/>
          <w:sz w:val="24"/>
          <w:szCs w:val="24"/>
        </w:rPr>
        <w:t xml:space="preserve"> (1998) </w:t>
      </w:r>
    </w:p>
    <w:p w14:paraId="7E4832D1"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 xml:space="preserve">A feldolgozandó információ mennyisége jelentősen különbözhet annak alapján, hogy a fogyasztó </w:t>
      </w:r>
      <w:r w:rsidRPr="00CB0A5E">
        <w:rPr>
          <w:rFonts w:cs="Times New Roman"/>
          <w:b/>
          <w:szCs w:val="24"/>
        </w:rPr>
        <w:t>minden alternatívát</w:t>
      </w:r>
      <w:r w:rsidRPr="00CB0A5E">
        <w:rPr>
          <w:rFonts w:cs="Times New Roman"/>
          <w:szCs w:val="24"/>
        </w:rPr>
        <w:t xml:space="preserve"> figyelembe véve dönt a vásárlás során (például figyelembe vesz részletesen minden elérhető információt az egyes mobiltelefon-alternatívákról), vagy csak egy </w:t>
      </w:r>
      <w:r w:rsidRPr="00CB0A5E">
        <w:rPr>
          <w:rFonts w:cs="Times New Roman"/>
          <w:b/>
          <w:szCs w:val="24"/>
        </w:rPr>
        <w:t>limitált mennyiségű</w:t>
      </w:r>
      <w:r w:rsidRPr="00CB0A5E">
        <w:rPr>
          <w:rFonts w:cs="Times New Roman"/>
          <w:szCs w:val="24"/>
        </w:rPr>
        <w:t xml:space="preserve"> információt használ (például újra ugyanazt választja, amit az előző alkalommal). </w:t>
      </w:r>
    </w:p>
    <w:p w14:paraId="32D27BD4"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A feldolgozandó információ mennyisége nemcsak alternatívák, de az attribútumok szintjén is eltérő lehet. Ilyenkor a fogyasztó szelektív módon használja az egyes attribútumok értékelése során felhasznált információmennyiséget (</w:t>
      </w:r>
      <w:r w:rsidRPr="00CB0A5E">
        <w:rPr>
          <w:rFonts w:cs="Times New Roman"/>
          <w:b/>
          <w:szCs w:val="24"/>
        </w:rPr>
        <w:t>szelektív információfeldolgozás</w:t>
      </w:r>
      <w:r w:rsidRPr="00CB0A5E">
        <w:rPr>
          <w:rFonts w:cs="Times New Roman"/>
          <w:szCs w:val="24"/>
        </w:rPr>
        <w:t xml:space="preserve">). </w:t>
      </w:r>
      <w:r w:rsidRPr="00CB0A5E">
        <w:rPr>
          <w:rFonts w:cs="Times New Roman"/>
          <w:b/>
          <w:szCs w:val="24"/>
        </w:rPr>
        <w:t>Konzisztens</w:t>
      </w:r>
      <w:r w:rsidRPr="00CB0A5E">
        <w:rPr>
          <w:rFonts w:cs="Times New Roman"/>
          <w:szCs w:val="24"/>
        </w:rPr>
        <w:t xml:space="preserve"> feldolgozásnak azt tekintjük, amikor a fogyasztó az információfeldolgozás során minden alternatíva vagy attribútum esetében azonos mennyiségű információt </w:t>
      </w:r>
      <w:proofErr w:type="spellStart"/>
      <w:r w:rsidRPr="00CB0A5E">
        <w:rPr>
          <w:rFonts w:cs="Times New Roman"/>
          <w:szCs w:val="24"/>
        </w:rPr>
        <w:t>dolgoz</w:t>
      </w:r>
      <w:proofErr w:type="spellEnd"/>
      <w:r w:rsidRPr="00CB0A5E">
        <w:rPr>
          <w:rFonts w:cs="Times New Roman"/>
          <w:szCs w:val="24"/>
        </w:rPr>
        <w:t xml:space="preserve"> fel. Például egy autó esetében, ha a fogyasztó a biztonságot tekinti a legfontosabbnak, akkor csupán ezt tulajdonságot értékeli, végül az A, B, C, D autók közül kiválasztja a D autót, azt, amelyik a legjobb mutatókkal rendelkezik e tekintetben. Ebben az esetben a döntési folyamat erőteljesen szelektív az attribútum tekintetében, de konzisztens az alternatív (márka) tekintetében, hiszen minden márka esetében ezt az attribútumot vette figyelembe. </w:t>
      </w:r>
    </w:p>
    <w:p w14:paraId="4FE55040"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 xml:space="preserve">Az információ feldolgozása során kétféle stratégiát különböztethetünk meg annak alapján, hogy </w:t>
      </w:r>
      <w:r w:rsidRPr="00CB0A5E">
        <w:rPr>
          <w:rFonts w:cs="Times New Roman"/>
          <w:b/>
          <w:szCs w:val="24"/>
        </w:rPr>
        <w:t>alternatívaként vagy attribútumonként</w:t>
      </w:r>
      <w:r w:rsidRPr="00CB0A5E">
        <w:rPr>
          <w:rFonts w:cs="Times New Roman"/>
          <w:szCs w:val="24"/>
        </w:rPr>
        <w:t xml:space="preserve"> értékeljük-e a lehetőségeket. Amikor alternatívákat hasonlítunk össze, akkor az adott alternatíva attribútumait értékeljük, mielőtt egy másik opciót megfontolnánk. Például először értékeljük az A mobiltelefont ár, márka, stílus, kinézet, memória stb. alapján, majd ez után tekintjük a B márka jellemzőit. Amikor attribútumonként elemzünk, akkor egy attribútum mentén vizsgálunk számos alternatívát, még mielőtt egy másik attribútumot figyelembe vennénk. Ezt tesszük akkor például, amikor először az ár alapján rangsoroljuk a mobiltelefonokat, eldöntve, hogy A verzió túl drága, B a legolcsóbb, C-</w:t>
      </w:r>
      <w:proofErr w:type="spellStart"/>
      <w:r w:rsidRPr="00CB0A5E">
        <w:rPr>
          <w:rFonts w:cs="Times New Roman"/>
          <w:szCs w:val="24"/>
        </w:rPr>
        <w:t>nek</w:t>
      </w:r>
      <w:proofErr w:type="spellEnd"/>
      <w:r w:rsidRPr="00CB0A5E">
        <w:rPr>
          <w:rFonts w:cs="Times New Roman"/>
          <w:szCs w:val="24"/>
        </w:rPr>
        <w:t xml:space="preserve"> még elfogadható az ára. </w:t>
      </w:r>
    </w:p>
    <w:p w14:paraId="2B449818"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Végül a stratégiákat megkülönböztethetjük annak alapján, hogy milyen arányban kompenzálóak. Kompenzáló stratégia esetén egy attribútum jó értéke kompenzálni tudja egy másik attribútum kevésbé jó teljesítményét. Az ilyen stratégia esetén szükséges az attribútumok közötti egyértelmű optimalizálás/kompromisszum (trade-</w:t>
      </w:r>
      <w:proofErr w:type="spellStart"/>
      <w:r w:rsidRPr="00CB0A5E">
        <w:rPr>
          <w:rFonts w:cs="Times New Roman"/>
          <w:szCs w:val="24"/>
        </w:rPr>
        <w:t>off</w:t>
      </w:r>
      <w:proofErr w:type="spellEnd"/>
      <w:r w:rsidRPr="00CB0A5E">
        <w:rPr>
          <w:rFonts w:cs="Times New Roman"/>
          <w:szCs w:val="24"/>
        </w:rPr>
        <w:t>). A nem kompenzáló stratégia esetén nincs ilyen átváltás az attribútumok között, ha a fogyasztónak a nagy képfelbontás a fontos, nem fogja az olcsóbb, de hosszabb készenléti idővel rendelkező opciót választani.</w:t>
      </w:r>
    </w:p>
    <w:p w14:paraId="018B9954" w14:textId="77777777" w:rsidR="0001325B" w:rsidRDefault="0001325B" w:rsidP="00EC10C5">
      <w:pPr>
        <w:pStyle w:val="Stlus1"/>
      </w:pPr>
      <w:bookmarkStart w:id="49" w:name="_Toc1568864"/>
      <w:bookmarkStart w:id="50" w:name="_Toc18440826"/>
    </w:p>
    <w:p w14:paraId="6385DF5D" w14:textId="77777777" w:rsidR="003D50F2" w:rsidRPr="00CB0A5E" w:rsidRDefault="003D50F2" w:rsidP="00EC10C5">
      <w:pPr>
        <w:pStyle w:val="Stlus1"/>
      </w:pPr>
      <w:r w:rsidRPr="00CB0A5E">
        <w:t>Az innováció elfogadásának folyamata</w:t>
      </w:r>
      <w:bookmarkEnd w:id="49"/>
      <w:bookmarkEnd w:id="50"/>
    </w:p>
    <w:p w14:paraId="21D6E74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Innovációnak</w:t>
      </w:r>
      <w:r w:rsidRPr="00CB0A5E">
        <w:rPr>
          <w:rFonts w:ascii="Times New Roman" w:hAnsi="Times New Roman" w:cs="Times New Roman"/>
          <w:sz w:val="24"/>
          <w:szCs w:val="24"/>
        </w:rPr>
        <w:t xml:space="preserve"> nevezünk minden olyan terméket, szolgáltatást vagy ötletet, amelyet valaki újnak érzékel, függetlenül attól, hogy valójában milyen régi. </w:t>
      </w:r>
      <w:r w:rsidRPr="00CB0A5E">
        <w:rPr>
          <w:rFonts w:ascii="Times New Roman" w:hAnsi="Times New Roman" w:cs="Times New Roman"/>
          <w:b/>
          <w:bCs/>
          <w:sz w:val="24"/>
          <w:szCs w:val="24"/>
        </w:rPr>
        <w:t xml:space="preserve">A termékelfogadási </w:t>
      </w:r>
      <w:r w:rsidRPr="00CB0A5E">
        <w:rPr>
          <w:rFonts w:ascii="Times New Roman" w:hAnsi="Times New Roman" w:cs="Times New Roman"/>
          <w:b/>
          <w:bCs/>
          <w:sz w:val="24"/>
          <w:szCs w:val="24"/>
        </w:rPr>
        <w:lastRenderedPageBreak/>
        <w:t xml:space="preserve">folyamat </w:t>
      </w:r>
      <w:r w:rsidRPr="00CB0A5E">
        <w:rPr>
          <w:rFonts w:ascii="Times New Roman" w:hAnsi="Times New Roman" w:cs="Times New Roman"/>
          <w:sz w:val="24"/>
          <w:szCs w:val="24"/>
        </w:rPr>
        <w:t>az a folyamat, amelyek során a vevő az innováció megismerésétől eljut annak végső elfogadásáig. Ennek a folyamatnak a lépései a következők:</w:t>
      </w:r>
    </w:p>
    <w:p w14:paraId="4C744538"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DB0E3D">
        <w:rPr>
          <w:rFonts w:cs="Times New Roman"/>
          <w:szCs w:val="24"/>
        </w:rPr>
        <w:t>Megismerés</w:t>
      </w:r>
    </w:p>
    <w:p w14:paraId="239063CA"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DB0E3D">
        <w:rPr>
          <w:rFonts w:cs="Times New Roman"/>
          <w:szCs w:val="24"/>
        </w:rPr>
        <w:t>Érdeklődés</w:t>
      </w:r>
    </w:p>
    <w:p w14:paraId="75510C2E"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DB0E3D">
        <w:rPr>
          <w:rFonts w:cs="Times New Roman"/>
          <w:szCs w:val="24"/>
        </w:rPr>
        <w:t>Értékelés</w:t>
      </w:r>
    </w:p>
    <w:p w14:paraId="414D2BB5"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DB0E3D">
        <w:rPr>
          <w:rFonts w:cs="Times New Roman"/>
          <w:szCs w:val="24"/>
        </w:rPr>
        <w:t>Kipróbálás</w:t>
      </w:r>
    </w:p>
    <w:p w14:paraId="4892A747"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DB0E3D">
        <w:rPr>
          <w:rFonts w:cs="Times New Roman"/>
          <w:szCs w:val="24"/>
        </w:rPr>
        <w:t>Elfogadás</w:t>
      </w:r>
    </w:p>
    <w:p w14:paraId="3D28378B" w14:textId="77777777" w:rsidR="003D50F2" w:rsidRPr="00CB0A5E" w:rsidRDefault="003D50F2" w:rsidP="00EC10C5">
      <w:pPr>
        <w:tabs>
          <w:tab w:val="num" w:pos="720"/>
        </w:tabs>
        <w:spacing w:after="60" w:line="240" w:lineRule="auto"/>
        <w:ind w:firstLine="556"/>
        <w:jc w:val="both"/>
        <w:rPr>
          <w:rFonts w:ascii="Times New Roman" w:hAnsi="Times New Roman" w:cs="Times New Roman"/>
          <w:b/>
          <w:bCs/>
          <w:sz w:val="24"/>
          <w:szCs w:val="24"/>
        </w:rPr>
      </w:pPr>
    </w:p>
    <w:p w14:paraId="4AE7A6CA"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Cs/>
          <w:sz w:val="24"/>
          <w:szCs w:val="24"/>
        </w:rPr>
        <w:t>A fogyasztókat csoportosíthatjuk az innováció elfogadásához szükséges idő alapján is.</w:t>
      </w:r>
      <w:r w:rsidRPr="00CB0A5E">
        <w:rPr>
          <w:rFonts w:ascii="Times New Roman" w:hAnsi="Times New Roman" w:cs="Times New Roman"/>
          <w:sz w:val="24"/>
          <w:szCs w:val="24"/>
        </w:rPr>
        <w:t xml:space="preserve"> Ezek a csoportok jelentősen különböznek az értékeikben, vásárlási szokásaikban. </w:t>
      </w:r>
    </w:p>
    <w:p w14:paraId="33F65E50"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 xml:space="preserve">Az újítók – szeretnek új ötleteket kipróbálni, akár némi kockázat árán is. </w:t>
      </w:r>
    </w:p>
    <w:p w14:paraId="0D8CEF1E"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 xml:space="preserve">A korai elfogadók – szeretnek új termékeket, ötleteket kipróbálni, de körültekintéssel, óvatosan. Ők a tipikus véleményvezérek az őket körülvevő közösségben meghatározó a véleményük.  </w:t>
      </w:r>
    </w:p>
    <w:p w14:paraId="72BE1362"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 xml:space="preserve">A korai többség – az átlagosnál hamarabb fogadják el az innovációkat, de ritkán véleményvezérek </w:t>
      </w:r>
    </w:p>
    <w:p w14:paraId="00FA8D5E"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 xml:space="preserve">A késői többség – szkeptikus az újdonságokkal szemben, az innovációt csak akkor fogadják el, ha már a többség kipróbálta.  </w:t>
      </w:r>
    </w:p>
    <w:p w14:paraId="270DFEE1" w14:textId="77777777" w:rsidR="003D50F2" w:rsidRPr="00CB0A5E" w:rsidRDefault="003D50F2" w:rsidP="00EC10C5">
      <w:pPr>
        <w:pStyle w:val="Listaszerbekezds"/>
        <w:numPr>
          <w:ilvl w:val="0"/>
          <w:numId w:val="25"/>
        </w:numPr>
        <w:tabs>
          <w:tab w:val="clear" w:pos="360"/>
          <w:tab w:val="num" w:pos="567"/>
        </w:tabs>
        <w:spacing w:after="60" w:line="240" w:lineRule="auto"/>
        <w:ind w:left="567" w:firstLine="709"/>
        <w:rPr>
          <w:rFonts w:cs="Times New Roman"/>
          <w:szCs w:val="24"/>
        </w:rPr>
      </w:pPr>
      <w:r w:rsidRPr="00CB0A5E">
        <w:rPr>
          <w:rFonts w:cs="Times New Roman"/>
          <w:szCs w:val="24"/>
        </w:rPr>
        <w:t>A lemaradók – hagyományok iránti elkötelezettség jellemzi, nem nyitottak a változásra, csak akkor fogadják el, ha már hagyománnyá vált.</w:t>
      </w:r>
    </w:p>
    <w:p w14:paraId="5EF7CC43"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vállalatok számára kulcsfontosságú az újítók és korai elfogadók szokásainak megismerése, és az ő közvetlen megcélzása a </w:t>
      </w:r>
      <w:proofErr w:type="spellStart"/>
      <w:r w:rsidRPr="00CB0A5E">
        <w:rPr>
          <w:rFonts w:ascii="Times New Roman" w:hAnsi="Times New Roman" w:cs="Times New Roman"/>
          <w:sz w:val="24"/>
          <w:szCs w:val="24"/>
        </w:rPr>
        <w:t>makretingkommunikáció</w:t>
      </w:r>
      <w:proofErr w:type="spellEnd"/>
      <w:r w:rsidRPr="00CB0A5E">
        <w:rPr>
          <w:rFonts w:ascii="Times New Roman" w:hAnsi="Times New Roman" w:cs="Times New Roman"/>
          <w:sz w:val="24"/>
          <w:szCs w:val="24"/>
        </w:rPr>
        <w:t xml:space="preserve"> során. </w:t>
      </w:r>
    </w:p>
    <w:p w14:paraId="63641977" w14:textId="77777777" w:rsidR="0001325B" w:rsidRDefault="0001325B" w:rsidP="00EC10C5">
      <w:pPr>
        <w:spacing w:after="60" w:line="240" w:lineRule="auto"/>
        <w:ind w:firstLine="709"/>
        <w:jc w:val="both"/>
        <w:rPr>
          <w:rFonts w:ascii="Times New Roman" w:hAnsi="Times New Roman" w:cs="Times New Roman"/>
          <w:b/>
          <w:bCs/>
          <w:sz w:val="24"/>
          <w:szCs w:val="24"/>
        </w:rPr>
      </w:pPr>
    </w:p>
    <w:p w14:paraId="1231DAC7" w14:textId="77777777" w:rsidR="003D50F2" w:rsidRPr="00CB0A5E" w:rsidRDefault="003D50F2" w:rsidP="00EC10C5">
      <w:pPr>
        <w:spacing w:after="60" w:line="240" w:lineRule="auto"/>
        <w:ind w:firstLine="709"/>
        <w:jc w:val="both"/>
        <w:rPr>
          <w:rFonts w:ascii="Times New Roman" w:hAnsi="Times New Roman" w:cs="Times New Roman"/>
          <w:b/>
          <w:bCs/>
          <w:sz w:val="24"/>
          <w:szCs w:val="24"/>
        </w:rPr>
      </w:pPr>
      <w:r w:rsidRPr="00CB0A5E">
        <w:rPr>
          <w:rFonts w:ascii="Times New Roman" w:hAnsi="Times New Roman" w:cs="Times New Roman"/>
          <w:b/>
          <w:bCs/>
          <w:sz w:val="24"/>
          <w:szCs w:val="24"/>
        </w:rPr>
        <w:t>Az innováció elfogadását befolyásoló tényezők</w:t>
      </w:r>
    </w:p>
    <w:p w14:paraId="1DA2B107"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Cs/>
          <w:sz w:val="24"/>
          <w:szCs w:val="24"/>
        </w:rPr>
        <w:t xml:space="preserve">Tekintsük át az innováció elfogadását, sikeressé válását befolyásoló tényezőket. </w:t>
      </w:r>
    </w:p>
    <w:p w14:paraId="056E1DE2" w14:textId="77777777" w:rsidR="0001325B"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első tényező az innováció által nyújtott </w:t>
      </w:r>
      <w:r w:rsidRPr="00CB0A5E">
        <w:rPr>
          <w:rFonts w:ascii="Times New Roman" w:hAnsi="Times New Roman" w:cs="Times New Roman"/>
          <w:b/>
          <w:sz w:val="24"/>
          <w:szCs w:val="24"/>
        </w:rPr>
        <w:t>viszonylagos előny</w:t>
      </w:r>
      <w:r w:rsidRPr="00CB0A5E">
        <w:rPr>
          <w:rFonts w:ascii="Times New Roman" w:hAnsi="Times New Roman" w:cs="Times New Roman"/>
          <w:sz w:val="24"/>
          <w:szCs w:val="24"/>
        </w:rPr>
        <w:t>, az, hogy</w:t>
      </w:r>
      <w:r w:rsidRPr="00CB0A5E">
        <w:rPr>
          <w:rFonts w:ascii="Times New Roman" w:hAnsi="Times New Roman" w:cs="Times New Roman"/>
          <w:b/>
          <w:sz w:val="24"/>
          <w:szCs w:val="24"/>
        </w:rPr>
        <w:t xml:space="preserve"> </w:t>
      </w:r>
      <w:r w:rsidRPr="00CB0A5E">
        <w:rPr>
          <w:rFonts w:ascii="Times New Roman" w:hAnsi="Times New Roman" w:cs="Times New Roman"/>
          <w:sz w:val="24"/>
          <w:szCs w:val="24"/>
        </w:rPr>
        <w:t xml:space="preserve">mennyivel tűnik jobbnak az újdonság a már létező termékeknél. Minél jelentősebbnek érzi az előnyt a vevő, annál valószínűbb az innováció elfogadása. </w:t>
      </w:r>
      <w:r w:rsidRPr="00CB0A5E">
        <w:rPr>
          <w:rFonts w:ascii="Times New Roman" w:hAnsi="Times New Roman" w:cs="Times New Roman"/>
          <w:b/>
          <w:sz w:val="24"/>
          <w:szCs w:val="24"/>
        </w:rPr>
        <w:t>A kompatibilitás</w:t>
      </w:r>
      <w:r w:rsidRPr="00CB0A5E">
        <w:rPr>
          <w:rFonts w:ascii="Times New Roman" w:hAnsi="Times New Roman" w:cs="Times New Roman"/>
          <w:sz w:val="24"/>
          <w:szCs w:val="24"/>
        </w:rPr>
        <w:t xml:space="preserve"> azt jelenti, hogy mennyire illik bele az egyén értékrendjébe és eddigi tapasztalataiba az újdonság. A magasabb kompatibilitás nagyobb esélyt jelent az elfogadásra</w:t>
      </w:r>
      <w:r w:rsidRPr="00CB0A5E">
        <w:rPr>
          <w:rFonts w:ascii="Times New Roman" w:hAnsi="Times New Roman" w:cs="Times New Roman"/>
          <w:b/>
          <w:sz w:val="24"/>
          <w:szCs w:val="24"/>
        </w:rPr>
        <w:t>. Az összetettség</w:t>
      </w:r>
      <w:r w:rsidRPr="00CB0A5E">
        <w:rPr>
          <w:rFonts w:ascii="Times New Roman" w:hAnsi="Times New Roman" w:cs="Times New Roman"/>
          <w:sz w:val="24"/>
          <w:szCs w:val="24"/>
        </w:rPr>
        <w:t xml:space="preserve"> arra utal, hogy mennyire bonyolult a termék használata. Minél nehezebb megtanulni az innováció használatát, annál kevésbé valószínű az elfogadása. Az innováció korlátozott </w:t>
      </w:r>
      <w:proofErr w:type="spellStart"/>
      <w:r w:rsidRPr="00CB0A5E">
        <w:rPr>
          <w:rFonts w:ascii="Times New Roman" w:hAnsi="Times New Roman" w:cs="Times New Roman"/>
          <w:b/>
          <w:sz w:val="24"/>
          <w:szCs w:val="24"/>
        </w:rPr>
        <w:t>kipróbálhatósága</w:t>
      </w:r>
      <w:proofErr w:type="spellEnd"/>
      <w:r w:rsidRPr="00CB0A5E">
        <w:rPr>
          <w:rFonts w:ascii="Times New Roman" w:hAnsi="Times New Roman" w:cs="Times New Roman"/>
          <w:sz w:val="24"/>
          <w:szCs w:val="24"/>
        </w:rPr>
        <w:t xml:space="preserve">, az, hogy mennyire korlátozott az újdonság kipróbálásának lehetősége növeli az elutasítás esélyét. Az innováció </w:t>
      </w:r>
      <w:r w:rsidRPr="00CB0A5E">
        <w:rPr>
          <w:rFonts w:ascii="Times New Roman" w:hAnsi="Times New Roman" w:cs="Times New Roman"/>
          <w:b/>
          <w:sz w:val="24"/>
          <w:szCs w:val="24"/>
        </w:rPr>
        <w:t>közölhetősége</w:t>
      </w:r>
      <w:r w:rsidRPr="00CB0A5E">
        <w:rPr>
          <w:rFonts w:ascii="Times New Roman" w:hAnsi="Times New Roman" w:cs="Times New Roman"/>
          <w:sz w:val="24"/>
          <w:szCs w:val="24"/>
        </w:rPr>
        <w:t xml:space="preserve"> arra utal, hogy mennyire észrevehetők az újdonság használatával járó előnyök. Ha a vállalat nem tudja megmutatni, elmagyarázni a használattal járó előnyöket, kisebb az esély az innováció elfogadásának. </w:t>
      </w:r>
    </w:p>
    <w:p w14:paraId="6C7D0D63"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  </w:t>
      </w:r>
    </w:p>
    <w:p w14:paraId="14778834" w14:textId="77777777" w:rsidR="003D50F2" w:rsidRPr="00DB0E3D" w:rsidRDefault="003D50F2" w:rsidP="00EC10C5">
      <w:pPr>
        <w:pStyle w:val="Cmsor2"/>
        <w:numPr>
          <w:ilvl w:val="1"/>
          <w:numId w:val="8"/>
        </w:numPr>
        <w:spacing w:after="60" w:line="240" w:lineRule="auto"/>
        <w:ind w:left="0" w:firstLine="709"/>
        <w:jc w:val="both"/>
        <w:rPr>
          <w:rFonts w:ascii="Times New Roman" w:hAnsi="Times New Roman" w:cs="Times New Roman"/>
          <w:b/>
          <w:sz w:val="24"/>
          <w:szCs w:val="24"/>
        </w:rPr>
      </w:pPr>
      <w:bookmarkStart w:id="51" w:name="_Toc1568860"/>
      <w:bookmarkStart w:id="52" w:name="_Toc18440827"/>
      <w:r w:rsidRPr="00DB0E3D">
        <w:rPr>
          <w:rFonts w:ascii="Times New Roman" w:hAnsi="Times New Roman" w:cs="Times New Roman"/>
          <w:b/>
          <w:sz w:val="24"/>
          <w:szCs w:val="24"/>
        </w:rPr>
        <w:t>A fogyasztói magatartást befolyásoló tényezők</w:t>
      </w:r>
      <w:bookmarkEnd w:id="51"/>
      <w:bookmarkEnd w:id="52"/>
    </w:p>
    <w:p w14:paraId="48B0E278" w14:textId="4EE46DB7" w:rsidR="003D50F2" w:rsidRPr="00CB0A5E" w:rsidRDefault="003D50F2"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Az egyéni fogyasztó magatartását befolyásoló tényezőket négy nagy csoportba sorolhatjuk: kulturális, társadalmi, személyes és pszichológiai tényezők (</w:t>
      </w:r>
      <w:r w:rsidRPr="00CB0A5E">
        <w:rPr>
          <w:rFonts w:ascii="Times New Roman" w:hAnsi="Times New Roman" w:cs="Times New Roman"/>
          <w:bCs/>
          <w:sz w:val="24"/>
          <w:szCs w:val="24"/>
        </w:rPr>
        <w:fldChar w:fldCharType="begin"/>
      </w:r>
      <w:r w:rsidRPr="00CB0A5E">
        <w:rPr>
          <w:rFonts w:ascii="Times New Roman" w:hAnsi="Times New Roman" w:cs="Times New Roman"/>
          <w:bCs/>
          <w:sz w:val="24"/>
          <w:szCs w:val="24"/>
        </w:rPr>
        <w:instrText xml:space="preserve"> REF _Ref1293065 \h  \* MERGEFORMAT </w:instrText>
      </w:r>
      <w:r w:rsidRPr="00CB0A5E">
        <w:rPr>
          <w:rFonts w:ascii="Times New Roman" w:hAnsi="Times New Roman" w:cs="Times New Roman"/>
          <w:bCs/>
          <w:sz w:val="24"/>
          <w:szCs w:val="24"/>
        </w:rPr>
      </w:r>
      <w:r w:rsidRPr="00CB0A5E">
        <w:rPr>
          <w:rFonts w:ascii="Times New Roman" w:hAnsi="Times New Roman" w:cs="Times New Roman"/>
          <w:bCs/>
          <w:sz w:val="24"/>
          <w:szCs w:val="24"/>
        </w:rPr>
        <w:fldChar w:fldCharType="separate"/>
      </w:r>
      <w:r w:rsidR="006C213D" w:rsidRPr="006C213D">
        <w:rPr>
          <w:rFonts w:ascii="Times New Roman" w:hAnsi="Times New Roman" w:cs="Times New Roman"/>
          <w:b/>
          <w:bCs/>
          <w:noProof/>
          <w:sz w:val="24"/>
          <w:szCs w:val="24"/>
        </w:rPr>
        <w:t>15</w:t>
      </w:r>
      <w:r w:rsidR="006C213D" w:rsidRPr="006C213D">
        <w:rPr>
          <w:rFonts w:ascii="Times New Roman" w:hAnsi="Times New Roman" w:cs="Times New Roman"/>
          <w:sz w:val="24"/>
          <w:szCs w:val="24"/>
        </w:rPr>
        <w:t>. ábra</w:t>
      </w:r>
      <w:r w:rsidRPr="00CB0A5E">
        <w:rPr>
          <w:rFonts w:ascii="Times New Roman" w:hAnsi="Times New Roman" w:cs="Times New Roman"/>
          <w:bCs/>
          <w:sz w:val="24"/>
          <w:szCs w:val="24"/>
        </w:rPr>
        <w:fldChar w:fldCharType="end"/>
      </w:r>
      <w:r w:rsidRPr="00CB0A5E">
        <w:rPr>
          <w:rFonts w:ascii="Times New Roman" w:hAnsi="Times New Roman" w:cs="Times New Roman"/>
          <w:bCs/>
          <w:sz w:val="24"/>
          <w:szCs w:val="24"/>
        </w:rPr>
        <w:t xml:space="preserve">). Ezeket mutatjuk be részletesen a következőkben.  </w:t>
      </w:r>
    </w:p>
    <w:p w14:paraId="44ECFC8C" w14:textId="77777777" w:rsidR="003D50F2" w:rsidRPr="00CB0A5E" w:rsidRDefault="003D50F2" w:rsidP="00EC10C5">
      <w:pPr>
        <w:spacing w:after="60" w:line="240" w:lineRule="auto"/>
        <w:ind w:firstLine="709"/>
        <w:jc w:val="both"/>
        <w:rPr>
          <w:rFonts w:ascii="Times New Roman" w:hAnsi="Times New Roman" w:cs="Times New Roman"/>
          <w:bCs/>
          <w:sz w:val="24"/>
          <w:szCs w:val="24"/>
        </w:rPr>
      </w:pPr>
    </w:p>
    <w:p w14:paraId="52A1505D" w14:textId="77777777" w:rsidR="003D50F2" w:rsidRPr="0001325B" w:rsidRDefault="00062572" w:rsidP="00EC10C5">
      <w:pPr>
        <w:pStyle w:val="Kpalrs"/>
        <w:spacing w:after="60"/>
        <w:ind w:firstLine="709"/>
        <w:jc w:val="center"/>
        <w:rPr>
          <w:rFonts w:ascii="Times New Roman" w:hAnsi="Times New Roman" w:cs="Times New Roman"/>
          <w:b/>
          <w:bCs/>
          <w:i w:val="0"/>
          <w:color w:val="000000" w:themeColor="text1"/>
          <w:sz w:val="24"/>
          <w:szCs w:val="24"/>
        </w:rPr>
      </w:pPr>
      <w:bookmarkStart w:id="53" w:name="_Ref1293065"/>
      <w:r w:rsidRPr="0001325B">
        <w:rPr>
          <w:rFonts w:ascii="Times New Roman" w:hAnsi="Times New Roman" w:cs="Times New Roman"/>
          <w:b/>
          <w:bCs/>
          <w:i w:val="0"/>
          <w:color w:val="000000" w:themeColor="text1"/>
          <w:sz w:val="24"/>
          <w:szCs w:val="24"/>
        </w:rPr>
        <w:lastRenderedPageBreak/>
        <w:t>15</w:t>
      </w:r>
      <w:r w:rsidR="003D50F2" w:rsidRPr="0001325B">
        <w:rPr>
          <w:rFonts w:ascii="Times New Roman" w:hAnsi="Times New Roman" w:cs="Times New Roman"/>
          <w:b/>
          <w:i w:val="0"/>
          <w:color w:val="000000" w:themeColor="text1"/>
          <w:sz w:val="24"/>
          <w:szCs w:val="24"/>
        </w:rPr>
        <w:t>. ábra</w:t>
      </w:r>
      <w:bookmarkEnd w:id="53"/>
      <w:r w:rsidR="003D50F2" w:rsidRPr="0001325B">
        <w:rPr>
          <w:rFonts w:ascii="Times New Roman" w:hAnsi="Times New Roman" w:cs="Times New Roman"/>
          <w:b/>
          <w:i w:val="0"/>
          <w:noProof/>
          <w:color w:val="000000" w:themeColor="text1"/>
          <w:sz w:val="24"/>
          <w:szCs w:val="24"/>
          <w:lang w:eastAsia="hu-HU"/>
        </w:rPr>
        <w:drawing>
          <wp:anchor distT="0" distB="0" distL="114300" distR="114300" simplePos="0" relativeHeight="251669504" behindDoc="0" locked="0" layoutInCell="1" allowOverlap="1" wp14:anchorId="2186BF5B" wp14:editId="4998BB95">
            <wp:simplePos x="0" y="0"/>
            <wp:positionH relativeFrom="column">
              <wp:posOffset>-635</wp:posOffset>
            </wp:positionH>
            <wp:positionV relativeFrom="paragraph">
              <wp:posOffset>175260</wp:posOffset>
            </wp:positionV>
            <wp:extent cx="5399405" cy="2350770"/>
            <wp:effectExtent l="0" t="0" r="0" b="0"/>
            <wp:wrapTopAndBottom/>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405" cy="2350770"/>
                    </a:xfrm>
                    <a:prstGeom prst="rect">
                      <a:avLst/>
                    </a:prstGeom>
                    <a:noFill/>
                  </pic:spPr>
                </pic:pic>
              </a:graphicData>
            </a:graphic>
          </wp:anchor>
        </w:drawing>
      </w:r>
      <w:r w:rsidR="003D50F2" w:rsidRPr="0001325B">
        <w:rPr>
          <w:rFonts w:ascii="Times New Roman" w:hAnsi="Times New Roman" w:cs="Times New Roman"/>
          <w:b/>
          <w:i w:val="0"/>
          <w:color w:val="000000" w:themeColor="text1"/>
          <w:sz w:val="24"/>
          <w:szCs w:val="24"/>
        </w:rPr>
        <w:t xml:space="preserve"> A fogyasztói magatartást befolyásoló tényezők</w:t>
      </w:r>
    </w:p>
    <w:p w14:paraId="1194E0E5" w14:textId="77777777" w:rsidR="003D50F2" w:rsidRPr="00CB0A5E" w:rsidRDefault="003D50F2"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17847441" w14:textId="77777777" w:rsidR="003D50F2" w:rsidRPr="00CB0A5E" w:rsidRDefault="003D50F2" w:rsidP="00EC10C5">
      <w:pPr>
        <w:spacing w:after="60" w:line="240" w:lineRule="auto"/>
        <w:ind w:firstLine="709"/>
        <w:jc w:val="both"/>
        <w:rPr>
          <w:rFonts w:ascii="Times New Roman" w:hAnsi="Times New Roman" w:cs="Times New Roman"/>
          <w:b/>
          <w:bCs/>
          <w:sz w:val="24"/>
          <w:szCs w:val="24"/>
        </w:rPr>
      </w:pPr>
    </w:p>
    <w:p w14:paraId="4F6CAAE4" w14:textId="77777777" w:rsidR="003D50F2" w:rsidRPr="00CB0A5E" w:rsidRDefault="003D50F2" w:rsidP="00EC10C5">
      <w:pPr>
        <w:pStyle w:val="Stlus1"/>
      </w:pPr>
      <w:bookmarkStart w:id="54" w:name="_Toc18440828"/>
      <w:r w:rsidRPr="00CB0A5E">
        <w:t>Kulturális tényezők</w:t>
      </w:r>
      <w:bookmarkEnd w:id="54"/>
    </w:p>
    <w:p w14:paraId="16E4DF65"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kultúra </w:t>
      </w:r>
      <w:r w:rsidRPr="00CB0A5E">
        <w:rPr>
          <w:rFonts w:ascii="Times New Roman" w:hAnsi="Times New Roman" w:cs="Times New Roman"/>
          <w:sz w:val="24"/>
          <w:szCs w:val="24"/>
        </w:rPr>
        <w:t>egy társadalom megkülönböztető, tanult életmódja, egy adott társadalom kollektív memóriája. A kultúra magába foglalja nemcsak a tanult meggyőződések, normák, értékek és szokások, valamint tevékenységek összességét, hanem a tárgyakat és szolgáltatásokat, mint például autók, ruházat, élelem, művészet, sport stb., amelyek egy adott társadalomra jellemzőek és a fogyasztók magatartását irányítják. A kulturális változások megértése kulcsfontosságú a marketingben.</w:t>
      </w:r>
    </w:p>
    <w:p w14:paraId="655AF51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szubkultúra </w:t>
      </w:r>
      <w:r w:rsidRPr="00CB0A5E">
        <w:rPr>
          <w:rFonts w:ascii="Times New Roman" w:hAnsi="Times New Roman" w:cs="Times New Roman"/>
          <w:sz w:val="24"/>
          <w:szCs w:val="24"/>
        </w:rPr>
        <w:t xml:space="preserve">a kultúrán belül emberek olyan csoportja, akik speciális értékekkel, normákkal, szokásokkal rendelkeznek. A szubkultúrák közé tartoznak a nemzetiségek, a vallások, a faji csoportok és földrajzi régiók. A marketing szempontjából kiemelkedően fontos a fogyasztás mentén létrejövő szubkultúrák. </w:t>
      </w:r>
    </w:p>
    <w:p w14:paraId="6D7A480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Társadalmi rétegződés, </w:t>
      </w:r>
      <w:r w:rsidRPr="00CB0A5E">
        <w:rPr>
          <w:rFonts w:ascii="Times New Roman" w:hAnsi="Times New Roman" w:cs="Times New Roman"/>
          <w:sz w:val="24"/>
          <w:szCs w:val="24"/>
        </w:rPr>
        <w:t xml:space="preserve">amely leggyakrabban társadalmi osztályok formájában jelentkezik. Ezek a társadalom viszonylag homogén és maradandó, hierarchikus tagozódásai, amelyek tagjai hasonló értékekkel, érdekekkel és magatartásnormákkal rendelkeznek. Általában a foglalkozás, jövedelem, végzettség, vagyon és más változók alapján határozzák meg. Az egyik legismertebb, és a médiatervezésben használt rendszer az </w:t>
      </w:r>
      <w:r w:rsidRPr="00CB0A5E">
        <w:rPr>
          <w:rFonts w:ascii="Times New Roman" w:hAnsi="Times New Roman" w:cs="Times New Roman"/>
          <w:b/>
          <w:bCs/>
          <w:sz w:val="24"/>
          <w:szCs w:val="24"/>
        </w:rPr>
        <w:t>ESOMAR Társadalmi kategória rendszer (</w:t>
      </w:r>
      <w:r w:rsidRPr="00CB0A5E">
        <w:rPr>
          <w:rFonts w:ascii="Times New Roman" w:hAnsi="Times New Roman" w:cs="Times New Roman"/>
          <w:sz w:val="24"/>
          <w:szCs w:val="24"/>
        </w:rPr>
        <w:t xml:space="preserve">ABCDE). (NRS, </w:t>
      </w:r>
      <w:proofErr w:type="spellStart"/>
      <w:r w:rsidRPr="00CB0A5E">
        <w:rPr>
          <w:rFonts w:ascii="Times New Roman" w:hAnsi="Times New Roman" w:cs="Times New Roman"/>
          <w:sz w:val="24"/>
          <w:szCs w:val="24"/>
        </w:rPr>
        <w:t>Esomar</w:t>
      </w:r>
      <w:proofErr w:type="spellEnd"/>
      <w:r w:rsidRPr="00CB0A5E">
        <w:rPr>
          <w:rFonts w:ascii="Times New Roman" w:hAnsi="Times New Roman" w:cs="Times New Roman"/>
          <w:sz w:val="24"/>
          <w:szCs w:val="24"/>
        </w:rPr>
        <w:t>)</w:t>
      </w:r>
    </w:p>
    <w:p w14:paraId="072B17DB"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1B3EED39" w14:textId="77777777" w:rsidR="003D50F2" w:rsidRPr="00CB0A5E" w:rsidRDefault="003D50F2" w:rsidP="00EC10C5">
      <w:pPr>
        <w:pStyle w:val="Stlus1"/>
      </w:pPr>
      <w:bookmarkStart w:id="55" w:name="_Toc18440829"/>
      <w:r w:rsidRPr="00CB0A5E">
        <w:t>Társadalmi tényezők</w:t>
      </w:r>
      <w:bookmarkEnd w:id="55"/>
      <w:r w:rsidRPr="00CB0A5E">
        <w:t xml:space="preserve"> </w:t>
      </w:r>
    </w:p>
    <w:p w14:paraId="581F742E"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társadalmi tényezők közé tartoznak a különböző referenciacsoportok. Egy személy </w:t>
      </w:r>
      <w:r w:rsidRPr="00CB0A5E">
        <w:rPr>
          <w:rFonts w:ascii="Times New Roman" w:hAnsi="Times New Roman" w:cs="Times New Roman"/>
          <w:b/>
          <w:sz w:val="24"/>
          <w:szCs w:val="24"/>
        </w:rPr>
        <w:t>referenciacsoportjai</w:t>
      </w:r>
      <w:r w:rsidRPr="00CB0A5E">
        <w:rPr>
          <w:rFonts w:ascii="Times New Roman" w:hAnsi="Times New Roman" w:cs="Times New Roman"/>
          <w:sz w:val="24"/>
          <w:szCs w:val="24"/>
        </w:rPr>
        <w:t xml:space="preserve"> alatt azokat a csoportokat értjük, amelyek közvetve vagy közvetlenül (személyes) hatással vannak attitűdjeire vagy magatartására. </w:t>
      </w:r>
    </w:p>
    <w:p w14:paraId="49B8E5B2" w14:textId="77777777" w:rsidR="003D50F2" w:rsidRPr="00CB0A5E" w:rsidRDefault="003D50F2" w:rsidP="00EC10C5">
      <w:pPr>
        <w:numPr>
          <w:ilvl w:val="0"/>
          <w:numId w:val="26"/>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Tagsági csoport</w:t>
      </w:r>
    </w:p>
    <w:p w14:paraId="5550C776" w14:textId="77777777" w:rsidR="003D50F2" w:rsidRPr="00CB0A5E" w:rsidRDefault="003D50F2" w:rsidP="00EC10C5">
      <w:pPr>
        <w:numPr>
          <w:ilvl w:val="2"/>
          <w:numId w:val="2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közvetlenül (személyes) hatással vannak attitűdjeire vagy magatartására</w:t>
      </w:r>
    </w:p>
    <w:p w14:paraId="1700E5FE" w14:textId="77777777" w:rsidR="003D50F2" w:rsidRPr="00CB0A5E" w:rsidRDefault="003D50F2" w:rsidP="00EC10C5">
      <w:pPr>
        <w:numPr>
          <w:ilvl w:val="0"/>
          <w:numId w:val="26"/>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Aspirációs csoportok</w:t>
      </w:r>
    </w:p>
    <w:p w14:paraId="1883F8DF" w14:textId="77777777" w:rsidR="003D50F2" w:rsidRPr="00CB0A5E" w:rsidRDefault="003D50F2" w:rsidP="00EC10C5">
      <w:pPr>
        <w:numPr>
          <w:ilvl w:val="2"/>
          <w:numId w:val="2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Azok a csoportok, amelyekhez a személy tartozni szeretne,</w:t>
      </w:r>
    </w:p>
    <w:p w14:paraId="19EF5450" w14:textId="77777777" w:rsidR="003D50F2" w:rsidRPr="00CB0A5E" w:rsidRDefault="003D50F2" w:rsidP="00EC10C5">
      <w:pPr>
        <w:numPr>
          <w:ilvl w:val="0"/>
          <w:numId w:val="26"/>
        </w:numPr>
        <w:spacing w:after="60" w:line="240" w:lineRule="auto"/>
        <w:ind w:left="567" w:firstLine="709"/>
        <w:jc w:val="both"/>
        <w:rPr>
          <w:rFonts w:ascii="Times New Roman" w:hAnsi="Times New Roman" w:cs="Times New Roman"/>
          <w:sz w:val="24"/>
          <w:szCs w:val="24"/>
        </w:rPr>
      </w:pPr>
      <w:proofErr w:type="spellStart"/>
      <w:r w:rsidRPr="00CB0A5E">
        <w:rPr>
          <w:rFonts w:ascii="Times New Roman" w:hAnsi="Times New Roman" w:cs="Times New Roman"/>
          <w:sz w:val="24"/>
          <w:szCs w:val="24"/>
        </w:rPr>
        <w:t>Disszociatív</w:t>
      </w:r>
      <w:proofErr w:type="spellEnd"/>
      <w:r w:rsidRPr="00CB0A5E">
        <w:rPr>
          <w:rFonts w:ascii="Times New Roman" w:hAnsi="Times New Roman" w:cs="Times New Roman"/>
          <w:sz w:val="24"/>
          <w:szCs w:val="24"/>
        </w:rPr>
        <w:t xml:space="preserve"> csoport</w:t>
      </w:r>
    </w:p>
    <w:p w14:paraId="0D82379D" w14:textId="77777777" w:rsidR="003D50F2" w:rsidRPr="00CB0A5E" w:rsidRDefault="003D50F2" w:rsidP="00EC10C5">
      <w:pPr>
        <w:numPr>
          <w:ilvl w:val="2"/>
          <w:numId w:val="26"/>
        </w:numPr>
        <w:spacing w:after="60" w:line="240" w:lineRule="auto"/>
        <w:jc w:val="both"/>
        <w:rPr>
          <w:rFonts w:ascii="Times New Roman" w:hAnsi="Times New Roman" w:cs="Times New Roman"/>
          <w:sz w:val="24"/>
          <w:szCs w:val="24"/>
        </w:rPr>
      </w:pPr>
      <w:r w:rsidRPr="00CB0A5E">
        <w:rPr>
          <w:rFonts w:ascii="Times New Roman" w:hAnsi="Times New Roman" w:cs="Times New Roman"/>
          <w:sz w:val="24"/>
          <w:szCs w:val="24"/>
        </w:rPr>
        <w:t>azok a közösségek, amelyek értékeit vagy magatartási formáját visszautasítja</w:t>
      </w:r>
    </w:p>
    <w:p w14:paraId="579C3E80" w14:textId="77777777" w:rsidR="003D50F2" w:rsidRPr="00CB0A5E" w:rsidRDefault="003D50F2" w:rsidP="00EC10C5">
      <w:pPr>
        <w:spacing w:after="60" w:line="240" w:lineRule="auto"/>
        <w:ind w:firstLine="709"/>
        <w:jc w:val="both"/>
        <w:rPr>
          <w:rFonts w:ascii="Times New Roman" w:hAnsi="Times New Roman" w:cs="Times New Roman"/>
          <w:b/>
          <w:bCs/>
          <w:sz w:val="24"/>
          <w:szCs w:val="24"/>
        </w:rPr>
      </w:pPr>
      <w:r w:rsidRPr="00CB0A5E">
        <w:rPr>
          <w:rFonts w:ascii="Times New Roman" w:hAnsi="Times New Roman" w:cs="Times New Roman"/>
          <w:bCs/>
          <w:sz w:val="24"/>
          <w:szCs w:val="24"/>
        </w:rPr>
        <w:lastRenderedPageBreak/>
        <w:t>Számos kutatás kiemelte</w:t>
      </w:r>
      <w:r w:rsidRPr="00CB0A5E">
        <w:rPr>
          <w:rFonts w:ascii="Times New Roman" w:hAnsi="Times New Roman" w:cs="Times New Roman"/>
          <w:b/>
          <w:bCs/>
          <w:sz w:val="24"/>
          <w:szCs w:val="24"/>
        </w:rPr>
        <w:t xml:space="preserve"> a szóbeszéd</w:t>
      </w:r>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word</w:t>
      </w:r>
      <w:proofErr w:type="spellEnd"/>
      <w:r w:rsidRPr="00CB0A5E">
        <w:rPr>
          <w:rFonts w:ascii="Times New Roman" w:hAnsi="Times New Roman" w:cs="Times New Roman"/>
          <w:bCs/>
          <w:sz w:val="24"/>
          <w:szCs w:val="24"/>
        </w:rPr>
        <w:t xml:space="preserve"> of </w:t>
      </w:r>
      <w:proofErr w:type="spellStart"/>
      <w:r w:rsidRPr="00CB0A5E">
        <w:rPr>
          <w:rFonts w:ascii="Times New Roman" w:hAnsi="Times New Roman" w:cs="Times New Roman"/>
          <w:bCs/>
          <w:sz w:val="24"/>
          <w:szCs w:val="24"/>
        </w:rPr>
        <w:t>mouth</w:t>
      </w:r>
      <w:proofErr w:type="spellEnd"/>
      <w:r w:rsidRPr="00CB0A5E">
        <w:rPr>
          <w:rFonts w:ascii="Times New Roman" w:hAnsi="Times New Roman" w:cs="Times New Roman"/>
          <w:bCs/>
          <w:sz w:val="24"/>
          <w:szCs w:val="24"/>
        </w:rPr>
        <w:t xml:space="preserve">) fogyasztói magatartást befolyásoló hatását. A barátok, ismerősök, családtagok véleménye sokkal hitelesebbnek tűnik a fogyasztóknak a reklámok, közvetítők, eladók véleményénél egy olyan termék vagy szolgáltatás vásárlása esetén, amelyet nem ismernek. A befolyásoló személyek között kiemelkedő szerepük van az ún. véleményvezéreknek, akiknek a véleménye fogyasztók csoportjára is hatással lehet. A vállalatok számára fontos azonosítani a véleményvezéreket, és az ő támogatásukat megnyerni a termék számára.  </w:t>
      </w:r>
    </w:p>
    <w:p w14:paraId="2016A4BF"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család </w:t>
      </w:r>
      <w:r w:rsidRPr="00CB0A5E">
        <w:rPr>
          <w:rFonts w:ascii="Times New Roman" w:hAnsi="Times New Roman" w:cs="Times New Roman"/>
          <w:sz w:val="24"/>
          <w:szCs w:val="24"/>
        </w:rPr>
        <w:t>a társadalom legfontosabb fogyasztó- és vásárlószervezete, s a családtagok alkotják a legbefolyásosabb elsődleges referenciacsoportot. A házastársak, gyerekek vásárlási döntést befolyásoló szerepe eltérő lehet különböző terméke esetén.</w:t>
      </w:r>
    </w:p>
    <w:p w14:paraId="1FBAEA9C"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60C7377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Szerepek és státuszok - </w:t>
      </w:r>
      <w:r w:rsidRPr="00CB0A5E">
        <w:rPr>
          <w:rFonts w:ascii="Times New Roman" w:hAnsi="Times New Roman" w:cs="Times New Roman"/>
          <w:bCs/>
          <w:sz w:val="24"/>
          <w:szCs w:val="24"/>
        </w:rPr>
        <w:t>Az egyén számos csoportnak tagja az élete során (család, iskola, munkahely, sport klub, …).</w:t>
      </w:r>
      <w:r w:rsidRPr="00CB0A5E">
        <w:rPr>
          <w:rFonts w:ascii="Times New Roman" w:hAnsi="Times New Roman" w:cs="Times New Roman"/>
          <w:b/>
          <w:bCs/>
          <w:sz w:val="24"/>
          <w:szCs w:val="24"/>
        </w:rPr>
        <w:t xml:space="preserve">  A szerep </w:t>
      </w:r>
      <w:r w:rsidRPr="00CB0A5E">
        <w:rPr>
          <w:rFonts w:ascii="Times New Roman" w:hAnsi="Times New Roman" w:cs="Times New Roman"/>
          <w:sz w:val="24"/>
          <w:szCs w:val="24"/>
        </w:rPr>
        <w:t xml:space="preserve">azokat a tevékenységeket jelenti, amelyeket az egyéntől az egyes csoportok elvárnak. Minden szerep egyben </w:t>
      </w:r>
      <w:r w:rsidRPr="00CB0A5E">
        <w:rPr>
          <w:rFonts w:ascii="Times New Roman" w:hAnsi="Times New Roman" w:cs="Times New Roman"/>
          <w:b/>
          <w:bCs/>
          <w:sz w:val="24"/>
          <w:szCs w:val="24"/>
        </w:rPr>
        <w:t xml:space="preserve">státust </w:t>
      </w:r>
      <w:r w:rsidRPr="00CB0A5E">
        <w:rPr>
          <w:rFonts w:ascii="Times New Roman" w:hAnsi="Times New Roman" w:cs="Times New Roman"/>
          <w:sz w:val="24"/>
          <w:szCs w:val="24"/>
        </w:rPr>
        <w:t>is feltételez. A marketing szempontjából azért fontos ismerni a vevők különböző szerepeit (és azokban betöltött státusát), mert a vásárlási szokásait és a preferenciáit ezek a szerepek befolyásolják. (Például a ruha választás során a munkahelyi, otthoni szerepeknek megfelelő öltözködés).</w:t>
      </w:r>
    </w:p>
    <w:p w14:paraId="55A8A7ED" w14:textId="77777777" w:rsidR="003D50F2" w:rsidRPr="00CB0A5E" w:rsidRDefault="003D50F2" w:rsidP="00EC10C5">
      <w:pPr>
        <w:pStyle w:val="Stlus1"/>
      </w:pPr>
      <w:bookmarkStart w:id="56" w:name="_Toc18440830"/>
      <w:r w:rsidRPr="00CB0A5E">
        <w:t>Személyes tényezők</w:t>
      </w:r>
      <w:bookmarkEnd w:id="56"/>
    </w:p>
    <w:p w14:paraId="423F100E"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egyén vásárlási döntéseit személyes jellemzői is befolyásolják, például a foglalkozása, életkora, anyagi körülményei, életstílusa, személyisége. </w:t>
      </w:r>
    </w:p>
    <w:p w14:paraId="0857C494"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személy foglalkozása, </w:t>
      </w:r>
      <w:r w:rsidRPr="00CB0A5E">
        <w:rPr>
          <w:rFonts w:ascii="Times New Roman" w:hAnsi="Times New Roman" w:cs="Times New Roman"/>
          <w:bCs/>
          <w:sz w:val="24"/>
          <w:szCs w:val="24"/>
        </w:rPr>
        <w:t>a munkahely vállalati kultúrája</w:t>
      </w:r>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 xml:space="preserve">befolyásolja számos termék és szolgáltatás választást. Bizonyos munkahelyeken elvárásnak megfelelő </w:t>
      </w:r>
    </w:p>
    <w:p w14:paraId="2A1D0CE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Anyagi körülmények: </w:t>
      </w:r>
      <w:r w:rsidRPr="00CB0A5E">
        <w:rPr>
          <w:rFonts w:ascii="Times New Roman" w:hAnsi="Times New Roman" w:cs="Times New Roman"/>
          <w:sz w:val="24"/>
          <w:szCs w:val="24"/>
        </w:rPr>
        <w:t xml:space="preserve">elkölthető jövedelem, megtakarítások, vagyon, kölcsönfelvételi lehetőségek, költekező/takarékos életmód. </w:t>
      </w:r>
    </w:p>
    <w:p w14:paraId="3785AB8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Életstílus</w:t>
      </w:r>
      <w:r w:rsidRPr="00CB0A5E">
        <w:rPr>
          <w:rFonts w:ascii="Times New Roman" w:hAnsi="Times New Roman" w:cs="Times New Roman"/>
          <w:sz w:val="24"/>
          <w:szCs w:val="24"/>
        </w:rPr>
        <w:t xml:space="preserve"> az egyén életvezetési mintája, amely a tevékenységeiben, érdeklődési körében és véleményeiben fejeződik ki. </w:t>
      </w:r>
    </w:p>
    <w:p w14:paraId="1E1316B1" w14:textId="77777777" w:rsidR="003D50F2" w:rsidRPr="00CB0A5E" w:rsidRDefault="003D50F2" w:rsidP="00EC10C5">
      <w:pPr>
        <w:spacing w:after="60" w:line="240" w:lineRule="auto"/>
        <w:ind w:firstLine="709"/>
        <w:jc w:val="both"/>
        <w:rPr>
          <w:rFonts w:ascii="Times New Roman" w:hAnsi="Times New Roman" w:cs="Times New Roman"/>
          <w:sz w:val="24"/>
          <w:szCs w:val="24"/>
        </w:rPr>
      </w:pPr>
      <w:proofErr w:type="spellStart"/>
      <w:r w:rsidRPr="00CB0A5E">
        <w:rPr>
          <w:rFonts w:ascii="Times New Roman" w:hAnsi="Times New Roman" w:cs="Times New Roman"/>
          <w:b/>
          <w:bCs/>
          <w:sz w:val="24"/>
          <w:szCs w:val="24"/>
        </w:rPr>
        <w:t>Pszichográfiai</w:t>
      </w:r>
      <w:proofErr w:type="spellEnd"/>
      <w:r w:rsidRPr="00CB0A5E">
        <w:rPr>
          <w:rFonts w:ascii="Times New Roman" w:hAnsi="Times New Roman" w:cs="Times New Roman"/>
          <w:b/>
          <w:bCs/>
          <w:sz w:val="24"/>
          <w:szCs w:val="24"/>
        </w:rPr>
        <w:t xml:space="preserve"> jellemzők – </w:t>
      </w:r>
      <w:r w:rsidRPr="00CB0A5E">
        <w:rPr>
          <w:rFonts w:ascii="Times New Roman" w:hAnsi="Times New Roman" w:cs="Times New Roman"/>
          <w:sz w:val="24"/>
          <w:szCs w:val="24"/>
        </w:rPr>
        <w:t xml:space="preserve">érdeklődési körök, szabadidős tevékenységek, vélemények. </w:t>
      </w:r>
    </w:p>
    <w:p w14:paraId="5D5A4F4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Személyiség </w:t>
      </w:r>
      <w:r w:rsidRPr="00CB0A5E">
        <w:rPr>
          <w:rFonts w:ascii="Times New Roman" w:hAnsi="Times New Roman" w:cs="Times New Roman"/>
          <w:sz w:val="24"/>
          <w:szCs w:val="24"/>
        </w:rPr>
        <w:t xml:space="preserve">alatt az egyén sajátos pszichológiai jellemzőinek összességét értjük, amelyek környezeti hatásokra adott viszonylag következetes és tartós válaszokhoz vezetnek. </w:t>
      </w:r>
      <w:r w:rsidRPr="00CB0A5E">
        <w:rPr>
          <w:rFonts w:ascii="Times New Roman" w:hAnsi="Times New Roman" w:cs="Times New Roman"/>
          <w:b/>
          <w:bCs/>
          <w:sz w:val="24"/>
          <w:szCs w:val="24"/>
        </w:rPr>
        <w:t>Márkaszemélyiség</w:t>
      </w:r>
      <w:r w:rsidRPr="00CB0A5E">
        <w:rPr>
          <w:rFonts w:ascii="Times New Roman" w:hAnsi="Times New Roman" w:cs="Times New Roman"/>
          <w:sz w:val="24"/>
          <w:szCs w:val="24"/>
        </w:rPr>
        <w:t xml:space="preserve"> alatt emberi vonások meghatározott csoportját értjük, amelyeket az adott márkának tulajdoníthatunk. </w:t>
      </w:r>
    </w:p>
    <w:p w14:paraId="6CA1365B" w14:textId="77777777" w:rsidR="003D50F2" w:rsidRPr="00CB0A5E" w:rsidRDefault="003D50F2" w:rsidP="00EC10C5">
      <w:pPr>
        <w:spacing w:after="60" w:line="240" w:lineRule="auto"/>
        <w:ind w:firstLine="709"/>
        <w:jc w:val="both"/>
        <w:rPr>
          <w:rFonts w:ascii="Times New Roman" w:hAnsi="Times New Roman" w:cs="Times New Roman"/>
          <w:sz w:val="24"/>
          <w:szCs w:val="24"/>
        </w:rPr>
      </w:pPr>
      <w:proofErr w:type="spellStart"/>
      <w:r w:rsidRPr="00CB0A5E">
        <w:rPr>
          <w:rFonts w:ascii="Times New Roman" w:hAnsi="Times New Roman" w:cs="Times New Roman"/>
          <w:sz w:val="24"/>
          <w:szCs w:val="24"/>
        </w:rPr>
        <w:t>Aaker</w:t>
      </w:r>
      <w:proofErr w:type="spellEnd"/>
      <w:r w:rsidRPr="00CB0A5E">
        <w:rPr>
          <w:rFonts w:ascii="Times New Roman" w:hAnsi="Times New Roman" w:cs="Times New Roman"/>
          <w:sz w:val="24"/>
          <w:szCs w:val="24"/>
        </w:rPr>
        <w:t xml:space="preserve"> öt nagy csoportját határozta meg a márkaszemélyiségnek:</w:t>
      </w:r>
    </w:p>
    <w:p w14:paraId="7FAF24C9" w14:textId="77777777" w:rsidR="003D50F2" w:rsidRPr="00CB0A5E" w:rsidRDefault="003D50F2" w:rsidP="00EC10C5">
      <w:pPr>
        <w:numPr>
          <w:ilvl w:val="0"/>
          <w:numId w:val="27"/>
        </w:numPr>
        <w:tabs>
          <w:tab w:val="clear" w:pos="720"/>
          <w:tab w:val="num" w:pos="0"/>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őszinteség (realisztikus, tisztességes, egészséges és vidám),</w:t>
      </w:r>
    </w:p>
    <w:p w14:paraId="7D232A3A" w14:textId="77777777" w:rsidR="003D50F2" w:rsidRPr="00CB0A5E" w:rsidRDefault="003D50F2" w:rsidP="00EC10C5">
      <w:pPr>
        <w:numPr>
          <w:ilvl w:val="0"/>
          <w:numId w:val="27"/>
        </w:numPr>
        <w:tabs>
          <w:tab w:val="clear" w:pos="720"/>
          <w:tab w:val="num" w:pos="0"/>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izgalmasság (merész, lendületes, fantáziadús és korszerű),</w:t>
      </w:r>
    </w:p>
    <w:p w14:paraId="4917F2F9" w14:textId="77777777" w:rsidR="003D50F2" w:rsidRPr="00CB0A5E" w:rsidRDefault="003D50F2" w:rsidP="00EC10C5">
      <w:pPr>
        <w:numPr>
          <w:ilvl w:val="0"/>
          <w:numId w:val="27"/>
        </w:numPr>
        <w:tabs>
          <w:tab w:val="clear" w:pos="720"/>
          <w:tab w:val="num" w:pos="0"/>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kompetencia (megbízható, intelligens és sikeres),</w:t>
      </w:r>
    </w:p>
    <w:p w14:paraId="36D116B2" w14:textId="77777777" w:rsidR="003D50F2" w:rsidRPr="00CB0A5E" w:rsidRDefault="003D50F2" w:rsidP="00EC10C5">
      <w:pPr>
        <w:numPr>
          <w:ilvl w:val="0"/>
          <w:numId w:val="27"/>
        </w:numPr>
        <w:tabs>
          <w:tab w:val="clear" w:pos="720"/>
          <w:tab w:val="num" w:pos="0"/>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kifinomultság (előkelő és elragadó),</w:t>
      </w:r>
    </w:p>
    <w:p w14:paraId="0E607525" w14:textId="77777777" w:rsidR="003D50F2" w:rsidRPr="00CB0A5E" w:rsidRDefault="003D50F2" w:rsidP="00EC10C5">
      <w:pPr>
        <w:numPr>
          <w:ilvl w:val="0"/>
          <w:numId w:val="27"/>
        </w:numPr>
        <w:tabs>
          <w:tab w:val="clear" w:pos="720"/>
          <w:tab w:val="num" w:pos="0"/>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durvaság (természetkedvelő és kemény).</w:t>
      </w:r>
    </w:p>
    <w:p w14:paraId="257AD50D"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744C0792" w14:textId="77777777" w:rsidR="003D50F2" w:rsidRPr="00CB0A5E" w:rsidRDefault="003D50F2" w:rsidP="00EC10C5">
      <w:pPr>
        <w:pStyle w:val="Stlus1"/>
      </w:pPr>
      <w:bookmarkStart w:id="57" w:name="_Toc18440831"/>
      <w:r w:rsidRPr="00CB0A5E">
        <w:t>Pszichológiai folyamatok</w:t>
      </w:r>
      <w:bookmarkEnd w:id="57"/>
    </w:p>
    <w:p w14:paraId="23CB608E"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fogyasztói magatartás négy pszichológiai tényező által befolyásolt: a motiváció, az észlelés, a tanulás és az attitűd. </w:t>
      </w:r>
    </w:p>
    <w:p w14:paraId="4C43EC72" w14:textId="77777777" w:rsidR="003D50F2" w:rsidRPr="00CB0A5E" w:rsidRDefault="003D50F2" w:rsidP="00EC10C5">
      <w:pPr>
        <w:spacing w:after="60" w:line="240" w:lineRule="auto"/>
        <w:ind w:firstLine="709"/>
        <w:rPr>
          <w:rFonts w:ascii="Times New Roman" w:hAnsi="Times New Roman" w:cs="Times New Roman"/>
          <w:sz w:val="24"/>
          <w:szCs w:val="24"/>
        </w:rPr>
      </w:pPr>
      <w:r w:rsidRPr="00CB0A5E">
        <w:rPr>
          <w:rFonts w:ascii="Times New Roman" w:hAnsi="Times New Roman" w:cs="Times New Roman"/>
          <w:sz w:val="24"/>
          <w:szCs w:val="24"/>
        </w:rPr>
        <w:t>Motiváció</w:t>
      </w:r>
    </w:p>
    <w:p w14:paraId="64D2A87B" w14:textId="77777777" w:rsidR="003D50F2" w:rsidRPr="00CB0A5E" w:rsidRDefault="003D50F2" w:rsidP="00EC10C5">
      <w:pPr>
        <w:numPr>
          <w:ilvl w:val="0"/>
          <w:numId w:val="2"/>
        </w:numPr>
        <w:tabs>
          <w:tab w:val="clear" w:pos="360"/>
          <w:tab w:val="num" w:pos="567"/>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szükséglet akkor válik </w:t>
      </w:r>
      <w:r w:rsidRPr="00CB0A5E">
        <w:rPr>
          <w:rFonts w:ascii="Times New Roman" w:hAnsi="Times New Roman" w:cs="Times New Roman"/>
          <w:b/>
          <w:bCs/>
          <w:sz w:val="24"/>
          <w:szCs w:val="24"/>
        </w:rPr>
        <w:t>motivációvá</w:t>
      </w:r>
      <w:r w:rsidRPr="00CB0A5E">
        <w:rPr>
          <w:rFonts w:ascii="Times New Roman" w:hAnsi="Times New Roman" w:cs="Times New Roman"/>
          <w:sz w:val="24"/>
          <w:szCs w:val="24"/>
        </w:rPr>
        <w:t xml:space="preserve">, amikor megfelelő intenzitási szintet ér el ahhoz, hogy cselekvésre sarkalljon bennünket. Motivációnak </w:t>
      </w:r>
      <w:r w:rsidRPr="00CB0A5E">
        <w:rPr>
          <w:rFonts w:ascii="Times New Roman" w:hAnsi="Times New Roman" w:cs="Times New Roman"/>
          <w:b/>
          <w:bCs/>
          <w:sz w:val="24"/>
          <w:szCs w:val="24"/>
        </w:rPr>
        <w:t>iránya</w:t>
      </w:r>
      <w:r w:rsidRPr="00CB0A5E">
        <w:rPr>
          <w:rFonts w:ascii="Times New Roman" w:hAnsi="Times New Roman" w:cs="Times New Roman"/>
          <w:sz w:val="24"/>
          <w:szCs w:val="24"/>
        </w:rPr>
        <w:t xml:space="preserve"> (az egyik célt előnyben részesítjük egy másikkal szemben) </w:t>
      </w:r>
      <w:r w:rsidRPr="00CB0A5E">
        <w:rPr>
          <w:rFonts w:ascii="Times New Roman" w:hAnsi="Times New Roman" w:cs="Times New Roman"/>
          <w:b/>
          <w:bCs/>
          <w:sz w:val="24"/>
          <w:szCs w:val="24"/>
        </w:rPr>
        <w:t xml:space="preserve">és intenzitása </w:t>
      </w:r>
      <w:r w:rsidRPr="00CB0A5E">
        <w:rPr>
          <w:rFonts w:ascii="Times New Roman" w:hAnsi="Times New Roman" w:cs="Times New Roman"/>
          <w:sz w:val="24"/>
          <w:szCs w:val="24"/>
        </w:rPr>
        <w:t>(többé-kevésbé energikusan törekszünk a cél elérésére) van.</w:t>
      </w:r>
    </w:p>
    <w:p w14:paraId="00965313" w14:textId="77777777" w:rsidR="003D50F2" w:rsidRPr="00CB0A5E" w:rsidRDefault="003D50F2" w:rsidP="00EC10C5">
      <w:pPr>
        <w:pStyle w:val="Stlus1"/>
      </w:pPr>
      <w:proofErr w:type="spellStart"/>
      <w:r w:rsidRPr="00CB0A5E">
        <w:lastRenderedPageBreak/>
        <w:t>Maslow</w:t>
      </w:r>
      <w:proofErr w:type="spellEnd"/>
      <w:r w:rsidRPr="00CB0A5E">
        <w:t xml:space="preserve"> piramis – a szükségletek hierarchiája </w:t>
      </w:r>
    </w:p>
    <w:p w14:paraId="21FDB1F5"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Abraham </w:t>
      </w:r>
      <w:proofErr w:type="spellStart"/>
      <w:r w:rsidRPr="00CB0A5E">
        <w:rPr>
          <w:rFonts w:ascii="Times New Roman" w:hAnsi="Times New Roman" w:cs="Times New Roman"/>
          <w:sz w:val="24"/>
          <w:szCs w:val="24"/>
        </w:rPr>
        <w:t>Maslow</w:t>
      </w:r>
      <w:proofErr w:type="spellEnd"/>
      <w:r w:rsidRPr="00CB0A5E">
        <w:rPr>
          <w:rFonts w:ascii="Times New Roman" w:hAnsi="Times New Roman" w:cs="Times New Roman"/>
          <w:sz w:val="24"/>
          <w:szCs w:val="24"/>
        </w:rPr>
        <w:t xml:space="preserve"> abból az alapfeltételezésből indult ki, hogy az embereknél adott időben adott szükségletek jelentkeznek. A szükségszerűen van egyfajta hierarchiája az egyes szükségleteknek, és amíg egy alacsonyabb rendű szükséglet nem elégül ki, addig a magasabb rendű nem jelentkezik. </w:t>
      </w:r>
    </w:p>
    <w:p w14:paraId="1CA0C45F" w14:textId="4F478301"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egyes szükségleti szinteket a </w:t>
      </w:r>
      <w:r w:rsidRPr="00CB0A5E">
        <w:rPr>
          <w:rFonts w:ascii="Times New Roman" w:hAnsi="Times New Roman" w:cs="Times New Roman"/>
          <w:sz w:val="24"/>
          <w:szCs w:val="24"/>
        </w:rPr>
        <w:fldChar w:fldCharType="begin"/>
      </w:r>
      <w:r w:rsidRPr="00CB0A5E">
        <w:rPr>
          <w:rFonts w:ascii="Times New Roman" w:hAnsi="Times New Roman" w:cs="Times New Roman"/>
          <w:sz w:val="24"/>
          <w:szCs w:val="24"/>
        </w:rPr>
        <w:instrText xml:space="preserve"> REF _Ref1567231 \h  \* MERGEFORMAT </w:instrText>
      </w:r>
      <w:r w:rsidRPr="00CB0A5E">
        <w:rPr>
          <w:rFonts w:ascii="Times New Roman" w:hAnsi="Times New Roman" w:cs="Times New Roman"/>
          <w:sz w:val="24"/>
          <w:szCs w:val="24"/>
        </w:rPr>
      </w:r>
      <w:r w:rsidRPr="00CB0A5E">
        <w:rPr>
          <w:rFonts w:ascii="Times New Roman" w:hAnsi="Times New Roman" w:cs="Times New Roman"/>
          <w:sz w:val="24"/>
          <w:szCs w:val="24"/>
        </w:rPr>
        <w:fldChar w:fldCharType="separate"/>
      </w:r>
      <w:r w:rsidR="006C213D" w:rsidRPr="006C213D">
        <w:rPr>
          <w:rFonts w:ascii="Times New Roman" w:hAnsi="Times New Roman" w:cs="Times New Roman"/>
          <w:noProof/>
          <w:sz w:val="24"/>
          <w:szCs w:val="24"/>
        </w:rPr>
        <w:t>16</w:t>
      </w:r>
      <w:r w:rsidR="006C213D" w:rsidRPr="006C213D">
        <w:rPr>
          <w:rFonts w:ascii="Times New Roman" w:hAnsi="Times New Roman" w:cs="Times New Roman"/>
          <w:sz w:val="24"/>
          <w:szCs w:val="24"/>
        </w:rPr>
        <w:t>. ábra</w:t>
      </w:r>
      <w:r w:rsidRPr="00CB0A5E">
        <w:rPr>
          <w:rFonts w:ascii="Times New Roman" w:hAnsi="Times New Roman" w:cs="Times New Roman"/>
          <w:sz w:val="24"/>
          <w:szCs w:val="24"/>
        </w:rPr>
        <w:fldChar w:fldCharType="end"/>
      </w:r>
      <w:r w:rsidRPr="00CB0A5E">
        <w:rPr>
          <w:rFonts w:ascii="Times New Roman" w:hAnsi="Times New Roman" w:cs="Times New Roman"/>
          <w:sz w:val="24"/>
          <w:szCs w:val="24"/>
        </w:rPr>
        <w:t xml:space="preserve"> mutatja. </w:t>
      </w:r>
      <w:proofErr w:type="spellStart"/>
      <w:r w:rsidRPr="00CB0A5E">
        <w:rPr>
          <w:rFonts w:ascii="Times New Roman" w:hAnsi="Times New Roman" w:cs="Times New Roman"/>
          <w:sz w:val="24"/>
          <w:szCs w:val="24"/>
        </w:rPr>
        <w:t>Maslow</w:t>
      </w:r>
      <w:proofErr w:type="spellEnd"/>
      <w:r w:rsidRPr="00CB0A5E">
        <w:rPr>
          <w:rFonts w:ascii="Times New Roman" w:hAnsi="Times New Roman" w:cs="Times New Roman"/>
          <w:sz w:val="24"/>
          <w:szCs w:val="24"/>
        </w:rPr>
        <w:t xml:space="preserve"> öt szükségleti szintet különböztetett meg: a fiziológiai, a biztonsági, a szociális, az elismerés iránti és az önmegvalósításra törekedő szükségletet. </w:t>
      </w:r>
    </w:p>
    <w:p w14:paraId="5E9A309D"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5C47CCCA" w14:textId="77777777" w:rsidR="003D50F2"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bookmarkStart w:id="58" w:name="_Ref1567231"/>
      <w:r w:rsidRPr="0001325B">
        <w:rPr>
          <w:rFonts w:ascii="Times New Roman" w:hAnsi="Times New Roman" w:cs="Times New Roman"/>
          <w:b/>
          <w:i w:val="0"/>
          <w:color w:val="000000" w:themeColor="text1"/>
          <w:sz w:val="24"/>
          <w:szCs w:val="24"/>
        </w:rPr>
        <w:t>16</w:t>
      </w:r>
      <w:r w:rsidR="003D50F2" w:rsidRPr="0001325B">
        <w:rPr>
          <w:rFonts w:ascii="Times New Roman" w:hAnsi="Times New Roman" w:cs="Times New Roman"/>
          <w:b/>
          <w:i w:val="0"/>
          <w:color w:val="000000" w:themeColor="text1"/>
          <w:sz w:val="24"/>
          <w:szCs w:val="24"/>
        </w:rPr>
        <w:t>. ábra</w:t>
      </w:r>
      <w:bookmarkEnd w:id="58"/>
      <w:r w:rsidR="003D50F2" w:rsidRPr="0001325B">
        <w:rPr>
          <w:rFonts w:ascii="Times New Roman" w:hAnsi="Times New Roman" w:cs="Times New Roman"/>
          <w:b/>
          <w:i w:val="0"/>
          <w:color w:val="000000" w:themeColor="text1"/>
          <w:sz w:val="24"/>
          <w:szCs w:val="24"/>
        </w:rPr>
        <w:t xml:space="preserve"> </w:t>
      </w:r>
      <w:proofErr w:type="spellStart"/>
      <w:r w:rsidR="003D50F2" w:rsidRPr="0001325B">
        <w:rPr>
          <w:rFonts w:ascii="Times New Roman" w:hAnsi="Times New Roman" w:cs="Times New Roman"/>
          <w:b/>
          <w:i w:val="0"/>
          <w:color w:val="000000" w:themeColor="text1"/>
          <w:sz w:val="24"/>
          <w:szCs w:val="24"/>
        </w:rPr>
        <w:t>Maslow</w:t>
      </w:r>
      <w:proofErr w:type="spellEnd"/>
      <w:r w:rsidR="003D50F2" w:rsidRPr="0001325B">
        <w:rPr>
          <w:rFonts w:ascii="Times New Roman" w:hAnsi="Times New Roman" w:cs="Times New Roman"/>
          <w:b/>
          <w:i w:val="0"/>
          <w:color w:val="000000" w:themeColor="text1"/>
          <w:sz w:val="24"/>
          <w:szCs w:val="24"/>
        </w:rPr>
        <w:t xml:space="preserve"> piramis – a szükségletek hierarchiája</w:t>
      </w:r>
    </w:p>
    <w:p w14:paraId="49884A22"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74C7F422" wp14:editId="35EDB1B1">
            <wp:extent cx="5317200" cy="25200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7200" cy="2520000"/>
                    </a:xfrm>
                    <a:prstGeom prst="rect">
                      <a:avLst/>
                    </a:prstGeom>
                    <a:noFill/>
                  </pic:spPr>
                </pic:pic>
              </a:graphicData>
            </a:graphic>
          </wp:inline>
        </w:drawing>
      </w:r>
    </w:p>
    <w:p w14:paraId="0C90D1A6" w14:textId="77777777" w:rsidR="003D50F2" w:rsidRPr="00CB0A5E" w:rsidRDefault="003D50F2"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2AC771DF" w14:textId="77777777" w:rsidR="0001325B" w:rsidRDefault="0001325B" w:rsidP="00EC10C5">
      <w:pPr>
        <w:spacing w:after="60" w:line="240" w:lineRule="auto"/>
        <w:ind w:firstLine="709"/>
        <w:jc w:val="both"/>
        <w:rPr>
          <w:rFonts w:ascii="Times New Roman" w:hAnsi="Times New Roman" w:cs="Times New Roman"/>
          <w:sz w:val="24"/>
          <w:szCs w:val="24"/>
        </w:rPr>
      </w:pPr>
    </w:p>
    <w:p w14:paraId="40684410"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egyén először a legalapvetőbb szükségleteit igyekszik kielégíteni. Ha ez megtörtént, ez a szükséglet már nem hat motivációként, és az egyén a következő szintű szükségletet valósítja meg. </w:t>
      </w:r>
    </w:p>
    <w:p w14:paraId="7B0801A9"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7D34A727" w14:textId="77777777" w:rsidR="003D50F2" w:rsidRPr="00CB0A5E" w:rsidRDefault="003D50F2" w:rsidP="00EC10C5">
      <w:pPr>
        <w:pStyle w:val="Stlus1"/>
      </w:pPr>
      <w:r w:rsidRPr="00CB0A5E">
        <w:t xml:space="preserve">Észlelés </w:t>
      </w:r>
    </w:p>
    <w:p w14:paraId="67FD7F9F"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Az észlelés </w:t>
      </w:r>
      <w:r w:rsidRPr="00CB0A5E">
        <w:rPr>
          <w:rFonts w:ascii="Times New Roman" w:hAnsi="Times New Roman" w:cs="Times New Roman"/>
          <w:sz w:val="24"/>
          <w:szCs w:val="24"/>
        </w:rPr>
        <w:t xml:space="preserve">az a folyamat, amelyen keresztül kiválasztjuk, rendszerezzük és értelmezzük a környezetből érkező információkat, hogy a világról érthető képet </w:t>
      </w:r>
      <w:proofErr w:type="gramStart"/>
      <w:r w:rsidRPr="00CB0A5E">
        <w:rPr>
          <w:rFonts w:ascii="Times New Roman" w:hAnsi="Times New Roman" w:cs="Times New Roman"/>
          <w:sz w:val="24"/>
          <w:szCs w:val="24"/>
        </w:rPr>
        <w:t>alkossunk</w:t>
      </w:r>
      <w:r w:rsidRPr="00CB0A5E">
        <w:rPr>
          <w:rFonts w:ascii="Times New Roman" w:hAnsi="Times New Roman" w:cs="Times New Roman"/>
          <w:b/>
          <w:bCs/>
          <w:sz w:val="24"/>
          <w:szCs w:val="24"/>
        </w:rPr>
        <w:t>.</w:t>
      </w:r>
      <w:r w:rsidRPr="00CB0A5E">
        <w:rPr>
          <w:rFonts w:ascii="Times New Roman" w:hAnsi="Times New Roman" w:cs="Times New Roman"/>
          <w:sz w:val="24"/>
          <w:szCs w:val="24"/>
        </w:rPr>
        <w:t>(</w:t>
      </w:r>
      <w:proofErr w:type="gramEnd"/>
      <w:r w:rsidRPr="00CB0A5E">
        <w:rPr>
          <w:rFonts w:ascii="Times New Roman" w:hAnsi="Times New Roman" w:cs="Times New Roman"/>
          <w:sz w:val="24"/>
          <w:szCs w:val="24"/>
        </w:rPr>
        <w:t>Williams, 1981)</w:t>
      </w:r>
    </w:p>
    <w:p w14:paraId="0315EBBB" w14:textId="77777777" w:rsidR="003D50F2" w:rsidRPr="00CB0A5E" w:rsidRDefault="003D50F2" w:rsidP="00EC10C5">
      <w:pPr>
        <w:numPr>
          <w:ilvl w:val="0"/>
          <w:numId w:val="2"/>
        </w:numPr>
        <w:tabs>
          <w:tab w:val="clear" w:pos="360"/>
          <w:tab w:val="num" w:pos="567"/>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szelektív figyelem </w:t>
      </w:r>
      <w:r w:rsidRPr="00CB0A5E">
        <w:rPr>
          <w:rFonts w:ascii="Times New Roman" w:hAnsi="Times New Roman" w:cs="Times New Roman"/>
          <w:sz w:val="24"/>
          <w:szCs w:val="24"/>
        </w:rPr>
        <w:t>az a jelenség, amely során az egyén képtelen mindre odafigyelni, ezért az ingerek többsége.</w:t>
      </w:r>
    </w:p>
    <w:p w14:paraId="7B0106CC" w14:textId="77777777" w:rsidR="003D50F2" w:rsidRPr="00CB0A5E" w:rsidRDefault="003D50F2" w:rsidP="00EC10C5">
      <w:pPr>
        <w:numPr>
          <w:ilvl w:val="0"/>
          <w:numId w:val="2"/>
        </w:numPr>
        <w:tabs>
          <w:tab w:val="clear" w:pos="360"/>
          <w:tab w:val="num" w:pos="567"/>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szelektív torzítás </w:t>
      </w:r>
      <w:r w:rsidRPr="00CB0A5E">
        <w:rPr>
          <w:rFonts w:ascii="Times New Roman" w:hAnsi="Times New Roman" w:cs="Times New Roman"/>
          <w:sz w:val="24"/>
          <w:szCs w:val="24"/>
        </w:rPr>
        <w:t>arra való hajlam, hogy az információkat oly módon értelmezzük, amely összhangban áll az előzetes nézeteinkkel.</w:t>
      </w:r>
    </w:p>
    <w:p w14:paraId="716EC435" w14:textId="77777777" w:rsidR="003D50F2" w:rsidRPr="00CB0A5E" w:rsidRDefault="003D50F2" w:rsidP="00EC10C5">
      <w:pPr>
        <w:numPr>
          <w:ilvl w:val="0"/>
          <w:numId w:val="2"/>
        </w:numPr>
        <w:tabs>
          <w:tab w:val="clear" w:pos="360"/>
          <w:tab w:val="num" w:pos="567"/>
        </w:tabs>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szelektív emlékezés </w:t>
      </w:r>
      <w:r w:rsidRPr="00CB0A5E">
        <w:rPr>
          <w:rFonts w:ascii="Times New Roman" w:hAnsi="Times New Roman" w:cs="Times New Roman"/>
          <w:sz w:val="24"/>
          <w:szCs w:val="24"/>
        </w:rPr>
        <w:t>miatt az általunk kedvelt termék jó tulajdonságait megjegyezzük, míg a rivális termékek jó vonásait elfeledjük.</w:t>
      </w:r>
    </w:p>
    <w:p w14:paraId="416A1F03" w14:textId="77777777" w:rsidR="003D50F2" w:rsidRPr="00CB0A5E" w:rsidRDefault="003D50F2" w:rsidP="00EC10C5">
      <w:pPr>
        <w:spacing w:after="60" w:line="240" w:lineRule="auto"/>
        <w:ind w:left="360" w:firstLine="709"/>
        <w:jc w:val="both"/>
        <w:rPr>
          <w:rFonts w:ascii="Times New Roman" w:hAnsi="Times New Roman" w:cs="Times New Roman"/>
          <w:sz w:val="24"/>
          <w:szCs w:val="24"/>
        </w:rPr>
      </w:pPr>
    </w:p>
    <w:p w14:paraId="1F349660" w14:textId="77777777" w:rsidR="003D50F2" w:rsidRPr="00CB0A5E" w:rsidRDefault="003D50F2" w:rsidP="00EC10C5">
      <w:pPr>
        <w:pStyle w:val="Stlus1"/>
      </w:pPr>
      <w:r w:rsidRPr="00CB0A5E">
        <w:t xml:space="preserve">Tanulás </w:t>
      </w:r>
    </w:p>
    <w:p w14:paraId="3F79A403"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tanulás magában foglalja a tapasztalat eredményeképpen az egyén magatartásában bekövetkező változást. A tanulási folyamat </w:t>
      </w:r>
      <w:r w:rsidRPr="00CB0A5E">
        <w:rPr>
          <w:rFonts w:ascii="Times New Roman" w:hAnsi="Times New Roman" w:cs="Times New Roman"/>
          <w:b/>
          <w:bCs/>
          <w:sz w:val="24"/>
          <w:szCs w:val="24"/>
        </w:rPr>
        <w:t xml:space="preserve">késztetések, ösztönök, impulzusok, válaszok és megerősítések </w:t>
      </w:r>
      <w:r w:rsidRPr="00CB0A5E">
        <w:rPr>
          <w:rFonts w:ascii="Times New Roman" w:hAnsi="Times New Roman" w:cs="Times New Roman"/>
          <w:sz w:val="24"/>
          <w:szCs w:val="24"/>
        </w:rPr>
        <w:t xml:space="preserve">kölcsönhatásaként fogható fel. Két típus: a klasszikus kondicionálás és </w:t>
      </w:r>
      <w:proofErr w:type="spellStart"/>
      <w:r w:rsidRPr="00CB0A5E">
        <w:rPr>
          <w:rFonts w:ascii="Times New Roman" w:hAnsi="Times New Roman" w:cs="Times New Roman"/>
          <w:sz w:val="24"/>
          <w:szCs w:val="24"/>
        </w:rPr>
        <w:t>operáns</w:t>
      </w:r>
      <w:proofErr w:type="spellEnd"/>
      <w:r w:rsidRPr="00CB0A5E">
        <w:rPr>
          <w:rFonts w:ascii="Times New Roman" w:hAnsi="Times New Roman" w:cs="Times New Roman"/>
          <w:sz w:val="24"/>
          <w:szCs w:val="24"/>
        </w:rPr>
        <w:t xml:space="preserve"> (instrumentális) kondicionálás. </w:t>
      </w:r>
    </w:p>
    <w:p w14:paraId="3895D757"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lastRenderedPageBreak/>
        <w:t xml:space="preserve">A tapasztalat hatására a fogyasztó egyre pontosabban ismeri saját preferenciáit, egyre kevesebb időt igényel a termék kiválasztása, és rövidül a vásárlás folyamata. </w:t>
      </w:r>
    </w:p>
    <w:p w14:paraId="6772ECAF" w14:textId="77777777" w:rsidR="003D50F2" w:rsidRPr="00CB0A5E" w:rsidRDefault="003D50F2" w:rsidP="00EC10C5">
      <w:pPr>
        <w:pStyle w:val="Stlus1"/>
      </w:pPr>
      <w:r w:rsidRPr="00CB0A5E">
        <w:t xml:space="preserve">Attitűd </w:t>
      </w:r>
    </w:p>
    <w:p w14:paraId="3EEEEBBD"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meggyőződés olyan felfogás, amely egy személy valamiről alkotott véleményét fejezi ki. A vállalatok számára fontos megismerni a vevők véleményét a termékkel kapcsolatosan, és ha úgy ítélik meg, hogy </w:t>
      </w:r>
      <w:proofErr w:type="gramStart"/>
      <w:r w:rsidRPr="00CB0A5E">
        <w:rPr>
          <w:rFonts w:ascii="Times New Roman" w:hAnsi="Times New Roman" w:cs="Times New Roman"/>
          <w:sz w:val="24"/>
          <w:szCs w:val="24"/>
        </w:rPr>
        <w:t>a</w:t>
      </w:r>
      <w:proofErr w:type="gramEnd"/>
      <w:r w:rsidRPr="00CB0A5E">
        <w:rPr>
          <w:rFonts w:ascii="Times New Roman" w:hAnsi="Times New Roman" w:cs="Times New Roman"/>
          <w:sz w:val="24"/>
          <w:szCs w:val="24"/>
        </w:rPr>
        <w:t xml:space="preserve"> ezek nézetek nem a valós képet tükrözik, igyekeznek ezt a képet megváltoztatni. </w:t>
      </w:r>
    </w:p>
    <w:p w14:paraId="6ED6764B" w14:textId="77777777" w:rsidR="003D50F2"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Az attitűd </w:t>
      </w:r>
      <w:r w:rsidRPr="00CB0A5E">
        <w:rPr>
          <w:rFonts w:ascii="Times New Roman" w:hAnsi="Times New Roman" w:cs="Times New Roman"/>
          <w:sz w:val="24"/>
          <w:szCs w:val="24"/>
        </w:rPr>
        <w:t xml:space="preserve">az egyén valamely tárggyal vagy ötlettel kapcsolatos, tartósan kedvező vagy kedvezőtlen értékelését, érzéseit és cselekvési tendenciáit jelzi. Az attitűdöt nehéz megváltoztatni. A vállalatok ezért inkább a meglévő attitűdjükhöz próbálják igazítani a kínálatukat. Esetenként a termék </w:t>
      </w:r>
      <w:proofErr w:type="spellStart"/>
      <w:r w:rsidRPr="00CB0A5E">
        <w:rPr>
          <w:rFonts w:ascii="Times New Roman" w:hAnsi="Times New Roman" w:cs="Times New Roman"/>
          <w:sz w:val="24"/>
          <w:szCs w:val="24"/>
        </w:rPr>
        <w:t>újrapozicionálásával</w:t>
      </w:r>
      <w:proofErr w:type="spellEnd"/>
      <w:r w:rsidRPr="00CB0A5E">
        <w:rPr>
          <w:rFonts w:ascii="Times New Roman" w:hAnsi="Times New Roman" w:cs="Times New Roman"/>
          <w:sz w:val="24"/>
          <w:szCs w:val="24"/>
        </w:rPr>
        <w:t xml:space="preserve"> próbálják meg a vevők attitűdjét a termék iránt megváltoztatni. </w:t>
      </w:r>
    </w:p>
    <w:p w14:paraId="348503C6" w14:textId="77777777" w:rsidR="0001325B" w:rsidRPr="00CB0A5E" w:rsidRDefault="0001325B" w:rsidP="00EC10C5">
      <w:pPr>
        <w:spacing w:after="60" w:line="240" w:lineRule="auto"/>
        <w:ind w:firstLine="709"/>
        <w:jc w:val="both"/>
        <w:rPr>
          <w:rFonts w:ascii="Times New Roman" w:hAnsi="Times New Roman" w:cs="Times New Roman"/>
          <w:sz w:val="24"/>
          <w:szCs w:val="24"/>
        </w:rPr>
      </w:pPr>
    </w:p>
    <w:p w14:paraId="6DEE8563" w14:textId="77777777" w:rsidR="003D50F2" w:rsidRPr="00E2748B" w:rsidRDefault="003D50F2" w:rsidP="00EC10C5">
      <w:pPr>
        <w:pStyle w:val="Cmsor2"/>
        <w:numPr>
          <w:ilvl w:val="1"/>
          <w:numId w:val="8"/>
        </w:numPr>
        <w:spacing w:after="60" w:line="240" w:lineRule="auto"/>
        <w:ind w:left="0" w:firstLine="709"/>
        <w:jc w:val="both"/>
        <w:rPr>
          <w:rFonts w:ascii="Times New Roman" w:hAnsi="Times New Roman" w:cs="Times New Roman"/>
          <w:b/>
          <w:sz w:val="24"/>
          <w:szCs w:val="24"/>
        </w:rPr>
      </w:pPr>
      <w:bookmarkStart w:id="59" w:name="_Toc1568865"/>
      <w:bookmarkStart w:id="60" w:name="_Toc18440832"/>
      <w:r w:rsidRPr="00E2748B">
        <w:rPr>
          <w:rFonts w:ascii="Times New Roman" w:hAnsi="Times New Roman" w:cs="Times New Roman"/>
          <w:b/>
          <w:sz w:val="24"/>
          <w:szCs w:val="24"/>
        </w:rPr>
        <w:t xml:space="preserve">A </w:t>
      </w:r>
      <w:bookmarkEnd w:id="59"/>
      <w:r w:rsidRPr="00E2748B">
        <w:rPr>
          <w:rFonts w:ascii="Times New Roman" w:hAnsi="Times New Roman" w:cs="Times New Roman"/>
          <w:b/>
          <w:sz w:val="24"/>
          <w:szCs w:val="24"/>
        </w:rPr>
        <w:t>szervezeti piac sajátosságai</w:t>
      </w:r>
      <w:bookmarkEnd w:id="60"/>
    </w:p>
    <w:p w14:paraId="72802B96"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szervezeti vagy üzleti piac</w:t>
      </w:r>
      <w:r w:rsidRPr="00CB0A5E">
        <w:rPr>
          <w:rFonts w:ascii="Times New Roman" w:hAnsi="Times New Roman" w:cs="Times New Roman"/>
          <w:sz w:val="24"/>
          <w:szCs w:val="24"/>
        </w:rPr>
        <w:t xml:space="preserve"> (business market) olyan szervezetekből (vállalatok, kormányzat, </w:t>
      </w:r>
      <w:proofErr w:type="gramStart"/>
      <w:r w:rsidRPr="00CB0A5E">
        <w:rPr>
          <w:rFonts w:ascii="Times New Roman" w:hAnsi="Times New Roman" w:cs="Times New Roman"/>
          <w:sz w:val="24"/>
          <w:szCs w:val="24"/>
        </w:rPr>
        <w:t>non-business</w:t>
      </w:r>
      <w:proofErr w:type="gramEnd"/>
      <w:r w:rsidRPr="00CB0A5E">
        <w:rPr>
          <w:rFonts w:ascii="Times New Roman" w:hAnsi="Times New Roman" w:cs="Times New Roman"/>
          <w:sz w:val="24"/>
          <w:szCs w:val="24"/>
        </w:rPr>
        <w:t xml:space="preserve"> szervezetek) áll, amelynek a vevői más szervezetek.  Négy típusa van a szervezeti piacoknak: </w:t>
      </w:r>
    </w:p>
    <w:p w14:paraId="3A1506D0" w14:textId="77777777" w:rsidR="003D50F2" w:rsidRPr="00CB0A5E" w:rsidRDefault="003D50F2" w:rsidP="00EC10C5">
      <w:pPr>
        <w:pStyle w:val="Listaszerbekezds"/>
        <w:numPr>
          <w:ilvl w:val="0"/>
          <w:numId w:val="4"/>
        </w:numPr>
        <w:spacing w:after="60" w:line="240" w:lineRule="auto"/>
        <w:ind w:firstLine="709"/>
        <w:rPr>
          <w:rFonts w:eastAsiaTheme="majorEastAsia" w:cs="Times New Roman"/>
          <w:spacing w:val="4"/>
          <w:szCs w:val="24"/>
        </w:rPr>
      </w:pPr>
      <w:r w:rsidRPr="00CB0A5E">
        <w:rPr>
          <w:rFonts w:cs="Times New Roman"/>
          <w:szCs w:val="24"/>
        </w:rPr>
        <w:t xml:space="preserve">ipari piac – olyan vállalatokból áll, amelyek termékeket és szolgáltatásokat vásárolnak más termékek és szolgáltatások előállításához. </w:t>
      </w:r>
    </w:p>
    <w:p w14:paraId="53B33400" w14:textId="77777777" w:rsidR="003D50F2" w:rsidRPr="00CB0A5E" w:rsidRDefault="003D50F2" w:rsidP="00EC10C5">
      <w:pPr>
        <w:pStyle w:val="Listaszerbekezds"/>
        <w:numPr>
          <w:ilvl w:val="0"/>
          <w:numId w:val="4"/>
        </w:numPr>
        <w:spacing w:after="60" w:line="240" w:lineRule="auto"/>
        <w:ind w:firstLine="709"/>
        <w:rPr>
          <w:rFonts w:eastAsiaTheme="majorEastAsia" w:cs="Times New Roman"/>
          <w:spacing w:val="4"/>
          <w:szCs w:val="24"/>
        </w:rPr>
      </w:pPr>
      <w:r w:rsidRPr="00CB0A5E">
        <w:rPr>
          <w:rFonts w:cs="Times New Roman"/>
          <w:szCs w:val="24"/>
        </w:rPr>
        <w:t xml:space="preserve">viszonteladói piac – olyan szervezetek (kis- és nagykereskedők) alkotják, akik a termékek és szolgáltatások azért vásárolják, hogy értékesítsék azokat. </w:t>
      </w:r>
    </w:p>
    <w:p w14:paraId="1CDEC70F" w14:textId="77777777" w:rsidR="003D50F2" w:rsidRPr="00CB0A5E" w:rsidRDefault="003D50F2" w:rsidP="00EC10C5">
      <w:pPr>
        <w:pStyle w:val="Listaszerbekezds"/>
        <w:numPr>
          <w:ilvl w:val="0"/>
          <w:numId w:val="4"/>
        </w:numPr>
        <w:spacing w:after="60" w:line="240" w:lineRule="auto"/>
        <w:ind w:firstLine="709"/>
        <w:rPr>
          <w:rFonts w:eastAsiaTheme="majorEastAsia" w:cs="Times New Roman"/>
          <w:spacing w:val="4"/>
          <w:szCs w:val="24"/>
        </w:rPr>
      </w:pPr>
      <w:r w:rsidRPr="00CB0A5E">
        <w:rPr>
          <w:rFonts w:cs="Times New Roman"/>
          <w:szCs w:val="24"/>
        </w:rPr>
        <w:t xml:space="preserve">kormányzati piac – azok a kormányzati szervek alkotják (minisztériumok, állami </w:t>
      </w:r>
      <w:proofErr w:type="gramStart"/>
      <w:r w:rsidRPr="00CB0A5E">
        <w:rPr>
          <w:rFonts w:cs="Times New Roman"/>
          <w:szCs w:val="24"/>
        </w:rPr>
        <w:t>hivatalok, ,..</w:t>
      </w:r>
      <w:proofErr w:type="gramEnd"/>
      <w:r w:rsidRPr="00CB0A5E">
        <w:rPr>
          <w:rFonts w:cs="Times New Roman"/>
          <w:szCs w:val="24"/>
        </w:rPr>
        <w:t xml:space="preserve">), akik az állami költségvetésből azért vásárolnak szolgáltatásokat és termékeket, hogy tevékenységüket elvégezzék (pl. védelmi, oktatási). </w:t>
      </w:r>
    </w:p>
    <w:p w14:paraId="298742DF" w14:textId="77777777" w:rsidR="003D50F2" w:rsidRPr="00CB0A5E" w:rsidRDefault="003D50F2" w:rsidP="00EC10C5">
      <w:pPr>
        <w:pStyle w:val="Listaszerbekezds"/>
        <w:numPr>
          <w:ilvl w:val="0"/>
          <w:numId w:val="4"/>
        </w:numPr>
        <w:spacing w:after="60" w:line="240" w:lineRule="auto"/>
        <w:ind w:firstLine="709"/>
        <w:rPr>
          <w:rFonts w:eastAsiaTheme="majorEastAsia" w:cs="Times New Roman"/>
          <w:spacing w:val="4"/>
          <w:szCs w:val="24"/>
        </w:rPr>
      </w:pPr>
      <w:r w:rsidRPr="00CB0A5E">
        <w:rPr>
          <w:rFonts w:cs="Times New Roman"/>
          <w:szCs w:val="24"/>
        </w:rPr>
        <w:t xml:space="preserve">non-business piac – azok a nonprofit szervezetek tartoznak ide (alapítványok, </w:t>
      </w:r>
      <w:proofErr w:type="gramStart"/>
      <w:r w:rsidRPr="00CB0A5E">
        <w:rPr>
          <w:rFonts w:cs="Times New Roman"/>
          <w:szCs w:val="24"/>
        </w:rPr>
        <w:t>egyesületek, ,..</w:t>
      </w:r>
      <w:proofErr w:type="gramEnd"/>
      <w:r w:rsidRPr="00CB0A5E">
        <w:rPr>
          <w:rFonts w:cs="Times New Roman"/>
          <w:szCs w:val="24"/>
        </w:rPr>
        <w:t xml:space="preserve">), amelyek társadalmi célú tevékenységük végzéséhez vásárolnak javakat. </w:t>
      </w:r>
    </w:p>
    <w:p w14:paraId="451D363C"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0CB671BE" w14:textId="77777777" w:rsidR="003D50F2" w:rsidRPr="00CB0A5E" w:rsidRDefault="003D50F2" w:rsidP="00EC10C5">
      <w:pPr>
        <w:pStyle w:val="Stlus1"/>
      </w:pPr>
      <w:bookmarkStart w:id="61" w:name="_Toc1568866"/>
      <w:bookmarkStart w:id="62" w:name="_Toc18440833"/>
      <w:r w:rsidRPr="00CB0A5E">
        <w:t>A szervezeti piac jellemzői</w:t>
      </w:r>
      <w:bookmarkEnd w:id="61"/>
      <w:bookmarkEnd w:id="62"/>
    </w:p>
    <w:p w14:paraId="4E36469C"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üzleti piac egyik legfontosabb jellemzője, hogy </w:t>
      </w:r>
      <w:r w:rsidRPr="00CB0A5E">
        <w:rPr>
          <w:rFonts w:ascii="Times New Roman" w:hAnsi="Times New Roman" w:cs="Times New Roman"/>
          <w:b/>
          <w:sz w:val="24"/>
          <w:szCs w:val="24"/>
        </w:rPr>
        <w:t>az eladó és a vevő is szervezet</w:t>
      </w:r>
      <w:r w:rsidRPr="00CB0A5E">
        <w:rPr>
          <w:rFonts w:ascii="Times New Roman" w:hAnsi="Times New Roman" w:cs="Times New Roman"/>
          <w:sz w:val="24"/>
          <w:szCs w:val="24"/>
        </w:rPr>
        <w:t xml:space="preserve">. Ebből adódik az angol elnevezés: business </w:t>
      </w:r>
      <w:proofErr w:type="spellStart"/>
      <w:r w:rsidRPr="00CB0A5E">
        <w:rPr>
          <w:rFonts w:ascii="Times New Roman" w:hAnsi="Times New Roman" w:cs="Times New Roman"/>
          <w:sz w:val="24"/>
          <w:szCs w:val="24"/>
        </w:rPr>
        <w:t>to</w:t>
      </w:r>
      <w:proofErr w:type="spellEnd"/>
      <w:r w:rsidRPr="00CB0A5E">
        <w:rPr>
          <w:rFonts w:ascii="Times New Roman" w:hAnsi="Times New Roman" w:cs="Times New Roman"/>
          <w:sz w:val="24"/>
          <w:szCs w:val="24"/>
        </w:rPr>
        <w:t xml:space="preserve"> business (B2B) market, míg a fogyasztói piacra a B2C (Business </w:t>
      </w:r>
      <w:proofErr w:type="spellStart"/>
      <w:r w:rsidRPr="00CB0A5E">
        <w:rPr>
          <w:rFonts w:ascii="Times New Roman" w:hAnsi="Times New Roman" w:cs="Times New Roman"/>
          <w:sz w:val="24"/>
          <w:szCs w:val="24"/>
        </w:rPr>
        <w:t>to</w:t>
      </w:r>
      <w:proofErr w:type="spellEnd"/>
      <w:r w:rsidRPr="00CB0A5E">
        <w:rPr>
          <w:rFonts w:ascii="Times New Roman" w:hAnsi="Times New Roman" w:cs="Times New Roman"/>
          <w:sz w:val="24"/>
          <w:szCs w:val="24"/>
        </w:rPr>
        <w:t xml:space="preserve"> Consumer market) elnevezést használják. </w:t>
      </w:r>
    </w:p>
    <w:p w14:paraId="133FBE8B" w14:textId="77777777" w:rsidR="003D50F2" w:rsidRPr="00CB0A5E" w:rsidRDefault="003D50F2" w:rsidP="00EC10C5">
      <w:pPr>
        <w:pStyle w:val="Stlus2"/>
      </w:pPr>
      <w:r w:rsidRPr="00CB0A5E">
        <w:t xml:space="preserve">Az üzleti piacon a vállalatnak jellemzően </w:t>
      </w:r>
      <w:r w:rsidRPr="00CB0A5E">
        <w:rPr>
          <w:b/>
        </w:rPr>
        <w:t>kevesebb vevője van, de azok nagyobbak</w:t>
      </w:r>
      <w:r w:rsidRPr="00CB0A5E">
        <w:t>.</w:t>
      </w:r>
    </w:p>
    <w:p w14:paraId="0F7D953E" w14:textId="77777777" w:rsidR="003D50F2" w:rsidRPr="00CB0A5E" w:rsidRDefault="003D50F2" w:rsidP="00EC10C5">
      <w:pPr>
        <w:pStyle w:val="Stlus2"/>
      </w:pPr>
      <w:r w:rsidRPr="00CB0A5E">
        <w:t xml:space="preserve">Az eladó – vevő közötti </w:t>
      </w:r>
      <w:r w:rsidRPr="00CB0A5E">
        <w:rPr>
          <w:b/>
        </w:rPr>
        <w:t>üzleti kapcsolat</w:t>
      </w:r>
      <w:r w:rsidRPr="00CB0A5E">
        <w:t xml:space="preserve"> komplex jelenség, amely meghatározó fontosságú az üzleti piacon. </w:t>
      </w:r>
    </w:p>
    <w:p w14:paraId="5FD32E95" w14:textId="77777777" w:rsidR="003D50F2" w:rsidRPr="00CB0A5E" w:rsidRDefault="003D50F2" w:rsidP="00EC10C5">
      <w:pPr>
        <w:pStyle w:val="Stlus2"/>
      </w:pPr>
      <w:proofErr w:type="gramStart"/>
      <w:r w:rsidRPr="00CB0A5E">
        <w:t>A kisszámú vevőkör,</w:t>
      </w:r>
      <w:proofErr w:type="gramEnd"/>
      <w:r w:rsidRPr="00CB0A5E">
        <w:t xml:space="preserve"> és a nagy vevők miatt az eladók igyekeznek hosszú távú kapcsolat kialakítására.</w:t>
      </w:r>
    </w:p>
    <w:p w14:paraId="43AEF9C6" w14:textId="77777777" w:rsidR="003D50F2" w:rsidRPr="00CB0A5E" w:rsidRDefault="003D50F2" w:rsidP="00EC10C5">
      <w:pPr>
        <w:pStyle w:val="Stlus2"/>
      </w:pPr>
      <w:r w:rsidRPr="00CB0A5E">
        <w:t xml:space="preserve">A kereslet </w:t>
      </w:r>
      <w:r w:rsidRPr="00CB0A5E">
        <w:rPr>
          <w:b/>
        </w:rPr>
        <w:t>származtatott kereslet</w:t>
      </w:r>
      <w:r w:rsidRPr="00CB0A5E">
        <w:t xml:space="preserve">, amely azt jelenti, hogy a végfelhasználók, a fogyasztói piac kereslete határozza meg az üzleti piac keresletét. </w:t>
      </w:r>
    </w:p>
    <w:p w14:paraId="2AB0ED22" w14:textId="77777777" w:rsidR="003D50F2" w:rsidRPr="00CB0A5E" w:rsidRDefault="003D50F2" w:rsidP="00EC10C5">
      <w:pPr>
        <w:pStyle w:val="Stlus2"/>
      </w:pPr>
      <w:r w:rsidRPr="00CB0A5E">
        <w:t xml:space="preserve">A fogyasztói piaccal összevetve a vásárlási döntésben jellemzően több személy vesz részt, </w:t>
      </w:r>
      <w:r w:rsidRPr="00CB0A5E">
        <w:rPr>
          <w:b/>
        </w:rPr>
        <w:t>professzionális beszerzők</w:t>
      </w:r>
      <w:r w:rsidRPr="00CB0A5E">
        <w:t xml:space="preserve"> vezetésével. </w:t>
      </w:r>
    </w:p>
    <w:p w14:paraId="608600C6" w14:textId="77777777" w:rsidR="003D50F2" w:rsidRPr="00CB0A5E" w:rsidRDefault="003D50F2" w:rsidP="00EC10C5">
      <w:pPr>
        <w:pStyle w:val="Stlus2"/>
      </w:pPr>
      <w:r w:rsidRPr="00CB0A5E">
        <w:t xml:space="preserve">A vásárlási </w:t>
      </w:r>
      <w:r w:rsidRPr="00CB0A5E">
        <w:rPr>
          <w:b/>
        </w:rPr>
        <w:t>(beszerzési) folyamat jellemzően komplex</w:t>
      </w:r>
      <w:r w:rsidRPr="00CB0A5E">
        <w:t xml:space="preserve">, hosszú ideig tart, erősen formalizált módon zajlik. </w:t>
      </w:r>
    </w:p>
    <w:p w14:paraId="0FD89A74" w14:textId="77777777" w:rsidR="003D50F2" w:rsidRPr="00CB0A5E" w:rsidRDefault="003D50F2" w:rsidP="00EC10C5">
      <w:pPr>
        <w:pStyle w:val="Stlus2"/>
      </w:pPr>
      <w:r w:rsidRPr="00CB0A5E">
        <w:t>Az eladó és a vevő gyakran erőteljesen függenek egymástól, ezért a vállalatok jó partnerkapcsolatok kiépítésére törekednek egymással.</w:t>
      </w:r>
    </w:p>
    <w:p w14:paraId="03AA048C"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2C7D2F60" w14:textId="77777777" w:rsidR="003D50F2" w:rsidRPr="00CB0A5E" w:rsidRDefault="003D50F2" w:rsidP="00EC10C5">
      <w:pPr>
        <w:pStyle w:val="Stlus1"/>
      </w:pPr>
      <w:bookmarkStart w:id="63" w:name="_Toc1568867"/>
      <w:bookmarkStart w:id="64" w:name="_Toc18440834"/>
      <w:r w:rsidRPr="00CB0A5E">
        <w:lastRenderedPageBreak/>
        <w:t>A szervezeti piac termékei</w:t>
      </w:r>
      <w:bookmarkEnd w:id="63"/>
      <w:bookmarkEnd w:id="64"/>
    </w:p>
    <w:p w14:paraId="598F3869" w14:textId="77777777" w:rsidR="003D50F2" w:rsidRPr="00CB0A5E"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szervezeti piac termékeit a termelésben betöltött szerepük alapján csoportosíthatjuk. Vannak termékek, amelyeket a gyártáshoz, a végtermék előállításához szükségesek (pl. nyersanyagok), míg mások a vállalat működéséhez elengedhetetlenek (pl. irodaszerek, számítástechnikai eszközök).  </w:t>
      </w:r>
    </w:p>
    <w:p w14:paraId="6673F95F" w14:textId="77777777" w:rsidR="003D50F2" w:rsidRPr="00CB0A5E" w:rsidRDefault="003D50F2" w:rsidP="00EC10C5">
      <w:pPr>
        <w:pStyle w:val="Listaszerbekezds"/>
        <w:numPr>
          <w:ilvl w:val="0"/>
          <w:numId w:val="3"/>
        </w:numPr>
        <w:spacing w:after="60" w:line="240" w:lineRule="auto"/>
        <w:ind w:firstLine="709"/>
        <w:rPr>
          <w:rFonts w:cs="Times New Roman"/>
          <w:szCs w:val="24"/>
        </w:rPr>
      </w:pPr>
      <w:r w:rsidRPr="00CB0A5E">
        <w:rPr>
          <w:rFonts w:cs="Times New Roman"/>
          <w:b/>
          <w:szCs w:val="24"/>
        </w:rPr>
        <w:t>Az alapanyagok és alkatrészek</w:t>
      </w:r>
      <w:r w:rsidRPr="00CB0A5E">
        <w:rPr>
          <w:rFonts w:cs="Times New Roman"/>
          <w:szCs w:val="24"/>
        </w:rPr>
        <w:t xml:space="preserve"> olyan cikkek, amelyek teljes egészében beépülnek a gyártó termékébe. Két csoportjuk létezik: nyersanyagok, valamint megmunkált anyagok és alkatrészek. (Nyersanyagok: mezőgazdasági javak, természetből vett javak)</w:t>
      </w:r>
    </w:p>
    <w:p w14:paraId="0A329A91" w14:textId="77777777" w:rsidR="003D50F2" w:rsidRPr="00CB0A5E" w:rsidRDefault="003D50F2" w:rsidP="00EC10C5">
      <w:pPr>
        <w:pStyle w:val="Listaszerbekezds"/>
        <w:numPr>
          <w:ilvl w:val="0"/>
          <w:numId w:val="3"/>
        </w:numPr>
        <w:spacing w:after="60" w:line="240" w:lineRule="auto"/>
        <w:ind w:firstLine="709"/>
        <w:rPr>
          <w:rFonts w:cs="Times New Roman"/>
          <w:szCs w:val="24"/>
        </w:rPr>
      </w:pPr>
      <w:r w:rsidRPr="00CB0A5E">
        <w:rPr>
          <w:rFonts w:cs="Times New Roman"/>
          <w:b/>
          <w:szCs w:val="24"/>
        </w:rPr>
        <w:t>A beruházási eszközök</w:t>
      </w:r>
      <w:r w:rsidRPr="00CB0A5E">
        <w:rPr>
          <w:rFonts w:cs="Times New Roman"/>
          <w:szCs w:val="24"/>
        </w:rPr>
        <w:t xml:space="preserve"> a késztermék előállítását és kezelését lehetővé tevő tartós termékek. (gépek, berendezések, segédeszközök)</w:t>
      </w:r>
    </w:p>
    <w:p w14:paraId="5260531D" w14:textId="77777777" w:rsidR="003D50F2" w:rsidRPr="00CB0A5E" w:rsidRDefault="003D50F2" w:rsidP="00EC10C5">
      <w:pPr>
        <w:pStyle w:val="Listaszerbekezds"/>
        <w:numPr>
          <w:ilvl w:val="0"/>
          <w:numId w:val="3"/>
        </w:numPr>
        <w:spacing w:after="60" w:line="240" w:lineRule="auto"/>
        <w:ind w:firstLine="709"/>
        <w:rPr>
          <w:rFonts w:eastAsiaTheme="majorEastAsia" w:cs="Times New Roman"/>
          <w:spacing w:val="4"/>
          <w:szCs w:val="24"/>
        </w:rPr>
      </w:pPr>
      <w:r w:rsidRPr="00CB0A5E">
        <w:rPr>
          <w:rFonts w:cs="Times New Roman"/>
          <w:b/>
          <w:szCs w:val="24"/>
        </w:rPr>
        <w:t>A segédanyagok és üzleti szolgáltatások</w:t>
      </w:r>
      <w:r w:rsidRPr="00CB0A5E">
        <w:rPr>
          <w:rFonts w:cs="Times New Roman"/>
          <w:szCs w:val="24"/>
        </w:rPr>
        <w:t xml:space="preserve"> olyan, rövid élettartamú áruk és szolgáltatások, amelyek megkönnyítik a késztermék előállítását és kezelését. (pl. karbantartási és javítóanyagok, gyártási segédanyagok, karbantartás és javítás, üzleti tanácsadás)</w:t>
      </w:r>
    </w:p>
    <w:p w14:paraId="54616057" w14:textId="77777777" w:rsidR="003D50F2" w:rsidRPr="00CB0A5E" w:rsidRDefault="003D50F2" w:rsidP="00EC10C5">
      <w:pPr>
        <w:spacing w:after="60" w:line="240" w:lineRule="auto"/>
        <w:ind w:firstLine="709"/>
        <w:jc w:val="both"/>
        <w:rPr>
          <w:rFonts w:ascii="Times New Roman" w:hAnsi="Times New Roman" w:cs="Times New Roman"/>
          <w:color w:val="000000"/>
          <w:kern w:val="24"/>
          <w:sz w:val="24"/>
          <w:szCs w:val="24"/>
          <w:lang w:eastAsia="hu-HU"/>
        </w:rPr>
      </w:pPr>
    </w:p>
    <w:p w14:paraId="36B9DD85" w14:textId="77777777" w:rsidR="003D50F2" w:rsidRPr="00CB0A5E" w:rsidRDefault="003D50F2" w:rsidP="00EC10C5">
      <w:pPr>
        <w:pStyle w:val="Stlus1"/>
        <w:rPr>
          <w:lang w:eastAsia="hu-HU"/>
        </w:rPr>
      </w:pPr>
      <w:bookmarkStart w:id="65" w:name="_Toc1568868"/>
      <w:bookmarkStart w:id="66" w:name="_Toc18440835"/>
      <w:r w:rsidRPr="00CB0A5E">
        <w:rPr>
          <w:lang w:eastAsia="hu-HU"/>
        </w:rPr>
        <w:t>A beszerzési döntés folyamata</w:t>
      </w:r>
      <w:bookmarkEnd w:id="65"/>
      <w:bookmarkEnd w:id="66"/>
    </w:p>
    <w:p w14:paraId="13741115" w14:textId="77777777" w:rsidR="003D50F2" w:rsidRPr="00CB0A5E" w:rsidRDefault="003D50F2" w:rsidP="00EC10C5">
      <w:pPr>
        <w:spacing w:after="60" w:line="240" w:lineRule="auto"/>
        <w:ind w:firstLine="709"/>
        <w:jc w:val="both"/>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 xml:space="preserve">A beszerzési folyamat során három típusú vásárlást különböztetünk meg: </w:t>
      </w:r>
      <w:r w:rsidRPr="00CB0A5E">
        <w:rPr>
          <w:rFonts w:ascii="Times New Roman" w:hAnsi="Times New Roman" w:cs="Times New Roman"/>
          <w:b/>
          <w:color w:val="000000"/>
          <w:kern w:val="24"/>
          <w:sz w:val="24"/>
          <w:szCs w:val="24"/>
          <w:lang w:eastAsia="hu-HU"/>
        </w:rPr>
        <w:t xml:space="preserve">egyszerű </w:t>
      </w:r>
      <w:proofErr w:type="spellStart"/>
      <w:r w:rsidRPr="00CB0A5E">
        <w:rPr>
          <w:rFonts w:ascii="Times New Roman" w:hAnsi="Times New Roman" w:cs="Times New Roman"/>
          <w:b/>
          <w:color w:val="000000"/>
          <w:kern w:val="24"/>
          <w:sz w:val="24"/>
          <w:szCs w:val="24"/>
          <w:lang w:eastAsia="hu-HU"/>
        </w:rPr>
        <w:t>újravásárlást</w:t>
      </w:r>
      <w:proofErr w:type="spellEnd"/>
      <w:r w:rsidRPr="00CB0A5E">
        <w:rPr>
          <w:rFonts w:ascii="Times New Roman" w:hAnsi="Times New Roman" w:cs="Times New Roman"/>
          <w:b/>
          <w:color w:val="000000"/>
          <w:kern w:val="24"/>
          <w:sz w:val="24"/>
          <w:szCs w:val="24"/>
          <w:lang w:eastAsia="hu-HU"/>
        </w:rPr>
        <w:t xml:space="preserve">, módosított </w:t>
      </w:r>
      <w:proofErr w:type="spellStart"/>
      <w:r w:rsidRPr="00CB0A5E">
        <w:rPr>
          <w:rFonts w:ascii="Times New Roman" w:hAnsi="Times New Roman" w:cs="Times New Roman"/>
          <w:b/>
          <w:color w:val="000000"/>
          <w:kern w:val="24"/>
          <w:sz w:val="24"/>
          <w:szCs w:val="24"/>
          <w:lang w:eastAsia="hu-HU"/>
        </w:rPr>
        <w:t>újravásárlást</w:t>
      </w:r>
      <w:proofErr w:type="spellEnd"/>
      <w:r w:rsidRPr="00CB0A5E">
        <w:rPr>
          <w:rFonts w:ascii="Times New Roman" w:hAnsi="Times New Roman" w:cs="Times New Roman"/>
          <w:b/>
          <w:color w:val="000000"/>
          <w:kern w:val="24"/>
          <w:sz w:val="24"/>
          <w:szCs w:val="24"/>
          <w:lang w:eastAsia="hu-HU"/>
        </w:rPr>
        <w:t>, új beszerzést.</w:t>
      </w:r>
      <w:r w:rsidRPr="00CB0A5E">
        <w:rPr>
          <w:rFonts w:ascii="Times New Roman" w:hAnsi="Times New Roman" w:cs="Times New Roman"/>
          <w:color w:val="000000"/>
          <w:kern w:val="24"/>
          <w:sz w:val="24"/>
          <w:szCs w:val="24"/>
          <w:lang w:eastAsia="hu-HU"/>
        </w:rPr>
        <w:t xml:space="preserve"> Az egyszerű </w:t>
      </w:r>
      <w:proofErr w:type="spellStart"/>
      <w:r w:rsidRPr="00CB0A5E">
        <w:rPr>
          <w:rFonts w:ascii="Times New Roman" w:hAnsi="Times New Roman" w:cs="Times New Roman"/>
          <w:color w:val="000000"/>
          <w:kern w:val="24"/>
          <w:sz w:val="24"/>
          <w:szCs w:val="24"/>
          <w:lang w:eastAsia="hu-HU"/>
        </w:rPr>
        <w:t>újravásárlás</w:t>
      </w:r>
      <w:proofErr w:type="spellEnd"/>
      <w:r w:rsidRPr="00CB0A5E">
        <w:rPr>
          <w:rFonts w:ascii="Times New Roman" w:hAnsi="Times New Roman" w:cs="Times New Roman"/>
          <w:color w:val="000000"/>
          <w:kern w:val="24"/>
          <w:sz w:val="24"/>
          <w:szCs w:val="24"/>
          <w:lang w:eastAsia="hu-HU"/>
        </w:rPr>
        <w:t xml:space="preserve"> során a vevő megrendeli a terméket minden változtatás nélkül. Ez általában a beszerzési osztály </w:t>
      </w:r>
      <w:proofErr w:type="spellStart"/>
      <w:r w:rsidRPr="00CB0A5E">
        <w:rPr>
          <w:rFonts w:ascii="Times New Roman" w:hAnsi="Times New Roman" w:cs="Times New Roman"/>
          <w:color w:val="000000"/>
          <w:kern w:val="24"/>
          <w:sz w:val="24"/>
          <w:szCs w:val="24"/>
          <w:lang w:eastAsia="hu-HU"/>
        </w:rPr>
        <w:t>rutinszerűen</w:t>
      </w:r>
      <w:proofErr w:type="spellEnd"/>
      <w:r w:rsidRPr="00CB0A5E">
        <w:rPr>
          <w:rFonts w:ascii="Times New Roman" w:hAnsi="Times New Roman" w:cs="Times New Roman"/>
          <w:color w:val="000000"/>
          <w:kern w:val="24"/>
          <w:sz w:val="24"/>
          <w:szCs w:val="24"/>
          <w:lang w:eastAsia="hu-HU"/>
        </w:rPr>
        <w:t xml:space="preserve"> végzi. A módosított </w:t>
      </w:r>
      <w:proofErr w:type="spellStart"/>
      <w:r w:rsidRPr="00CB0A5E">
        <w:rPr>
          <w:rFonts w:ascii="Times New Roman" w:hAnsi="Times New Roman" w:cs="Times New Roman"/>
          <w:color w:val="000000"/>
          <w:kern w:val="24"/>
          <w:sz w:val="24"/>
          <w:szCs w:val="24"/>
          <w:lang w:eastAsia="hu-HU"/>
        </w:rPr>
        <w:t>újravásárlás</w:t>
      </w:r>
      <w:proofErr w:type="spellEnd"/>
      <w:r w:rsidRPr="00CB0A5E">
        <w:rPr>
          <w:rFonts w:ascii="Times New Roman" w:hAnsi="Times New Roman" w:cs="Times New Roman"/>
          <w:color w:val="000000"/>
          <w:kern w:val="24"/>
          <w:sz w:val="24"/>
          <w:szCs w:val="24"/>
          <w:lang w:eastAsia="hu-HU"/>
        </w:rPr>
        <w:t xml:space="preserve"> során az előző vásárláshoz képest a vevő változtatni szeretne valamilyen részleten: például a termék összetételén, az áron, a feltételeken, vagy a beszállítókon. Az új beszerzés során a vállalat először vásárol valamilyen terméket vagy szolgáltatást. Ez jelentős kockázatot jelent, ezért a döntési folyamat hosszadalmasabb, több résztvevő van a döntési folyamatba bevonva. </w:t>
      </w:r>
    </w:p>
    <w:p w14:paraId="66C01D55" w14:textId="77777777" w:rsidR="003D50F2" w:rsidRPr="00CB0A5E" w:rsidRDefault="003D50F2" w:rsidP="00EC10C5">
      <w:pPr>
        <w:spacing w:after="60" w:line="240" w:lineRule="auto"/>
        <w:ind w:firstLine="709"/>
        <w:jc w:val="both"/>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Robinson–</w:t>
      </w:r>
      <w:proofErr w:type="spellStart"/>
      <w:r w:rsidRPr="00CB0A5E">
        <w:rPr>
          <w:rFonts w:ascii="Times New Roman" w:hAnsi="Times New Roman" w:cs="Times New Roman"/>
          <w:color w:val="000000"/>
          <w:kern w:val="24"/>
          <w:sz w:val="24"/>
          <w:szCs w:val="24"/>
          <w:lang w:eastAsia="hu-HU"/>
        </w:rPr>
        <w:t>Faris</w:t>
      </w:r>
      <w:proofErr w:type="spellEnd"/>
      <w:r w:rsidRPr="00CB0A5E">
        <w:rPr>
          <w:rFonts w:ascii="Times New Roman" w:hAnsi="Times New Roman" w:cs="Times New Roman"/>
          <w:color w:val="000000"/>
          <w:kern w:val="24"/>
          <w:sz w:val="24"/>
          <w:szCs w:val="24"/>
          <w:lang w:eastAsia="hu-HU"/>
        </w:rPr>
        <w:t xml:space="preserve">–Wind (1967) a </w:t>
      </w:r>
      <w:r w:rsidRPr="00CB0A5E">
        <w:rPr>
          <w:rFonts w:ascii="Times New Roman" w:hAnsi="Times New Roman" w:cs="Times New Roman"/>
          <w:b/>
          <w:color w:val="000000"/>
          <w:kern w:val="24"/>
          <w:sz w:val="24"/>
          <w:szCs w:val="24"/>
          <w:lang w:eastAsia="hu-HU"/>
        </w:rPr>
        <w:t>beszerzési döntés folyamatát</w:t>
      </w:r>
      <w:r w:rsidRPr="00CB0A5E">
        <w:rPr>
          <w:rFonts w:ascii="Times New Roman" w:hAnsi="Times New Roman" w:cs="Times New Roman"/>
          <w:color w:val="000000"/>
          <w:kern w:val="24"/>
          <w:sz w:val="24"/>
          <w:szCs w:val="24"/>
          <w:lang w:eastAsia="hu-HU"/>
        </w:rPr>
        <w:t xml:space="preserve"> nyolc szakaszra bontották:</w:t>
      </w:r>
    </w:p>
    <w:p w14:paraId="73322363"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A probléma felismerése</w:t>
      </w:r>
    </w:p>
    <w:p w14:paraId="6584812D"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A termék paramétereinek meghatározása</w:t>
      </w:r>
    </w:p>
    <w:p w14:paraId="275C9110"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A termék specifikáció leírása</w:t>
      </w:r>
    </w:p>
    <w:p w14:paraId="2535D401"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A szállítók keresése és előminősítése</w:t>
      </w:r>
    </w:p>
    <w:p w14:paraId="1D12DEE4"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Ajánlatok bekérése és értékelése</w:t>
      </w:r>
    </w:p>
    <w:p w14:paraId="77FD90F7"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A szállító kiválasztása</w:t>
      </w:r>
    </w:p>
    <w:p w14:paraId="55AF4027"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A termék megrendelés</w:t>
      </w:r>
    </w:p>
    <w:p w14:paraId="3F3CEBB7" w14:textId="77777777" w:rsidR="003D50F2" w:rsidRPr="00CB0A5E" w:rsidRDefault="003D50F2" w:rsidP="00EC10C5">
      <w:pPr>
        <w:pStyle w:val="Listaszerbekezds"/>
        <w:numPr>
          <w:ilvl w:val="0"/>
          <w:numId w:val="5"/>
        </w:numPr>
        <w:spacing w:after="60" w:line="240" w:lineRule="auto"/>
        <w:ind w:firstLine="709"/>
        <w:rPr>
          <w:rFonts w:cs="Times New Roman"/>
          <w:color w:val="000000"/>
          <w:kern w:val="24"/>
          <w:szCs w:val="24"/>
          <w:lang w:eastAsia="hu-HU"/>
        </w:rPr>
      </w:pPr>
      <w:r w:rsidRPr="00CB0A5E">
        <w:rPr>
          <w:rFonts w:cs="Times New Roman"/>
          <w:color w:val="000000"/>
          <w:kern w:val="24"/>
          <w:szCs w:val="24"/>
          <w:lang w:eastAsia="hu-HU"/>
        </w:rPr>
        <w:t>Utólagos értékelés</w:t>
      </w:r>
    </w:p>
    <w:p w14:paraId="1F2B9344"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65BD4BA0" w14:textId="77777777" w:rsidR="003D50F2" w:rsidRDefault="003D50F2"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vásárlás típusa meghatározza, hogy a beszerzési döntési folyamat mely lépéseit kell végrehajtani. Az új beszerzésnél minden szakaszt érinteni kell a folyamat során, míg az egyszerű </w:t>
      </w:r>
      <w:proofErr w:type="spellStart"/>
      <w:r w:rsidRPr="00CB0A5E">
        <w:rPr>
          <w:rFonts w:ascii="Times New Roman" w:hAnsi="Times New Roman" w:cs="Times New Roman"/>
          <w:sz w:val="24"/>
          <w:szCs w:val="24"/>
        </w:rPr>
        <w:t>újravásárlás</w:t>
      </w:r>
      <w:proofErr w:type="spellEnd"/>
      <w:r w:rsidRPr="00CB0A5E">
        <w:rPr>
          <w:rFonts w:ascii="Times New Roman" w:hAnsi="Times New Roman" w:cs="Times New Roman"/>
          <w:sz w:val="24"/>
          <w:szCs w:val="24"/>
        </w:rPr>
        <w:t xml:space="preserve"> során erre nincs szükség. </w:t>
      </w:r>
    </w:p>
    <w:p w14:paraId="2A0B349C" w14:textId="77777777" w:rsidR="0001325B" w:rsidRDefault="0001325B" w:rsidP="00EC10C5">
      <w:pPr>
        <w:spacing w:after="60" w:line="240" w:lineRule="auto"/>
        <w:ind w:firstLine="709"/>
        <w:jc w:val="both"/>
        <w:rPr>
          <w:rFonts w:ascii="Times New Roman" w:hAnsi="Times New Roman" w:cs="Times New Roman"/>
          <w:sz w:val="24"/>
          <w:szCs w:val="24"/>
        </w:rPr>
      </w:pPr>
    </w:p>
    <w:p w14:paraId="0AEE0557" w14:textId="77777777" w:rsidR="0001325B" w:rsidRDefault="0001325B" w:rsidP="00EC10C5">
      <w:pPr>
        <w:spacing w:after="60" w:line="240" w:lineRule="auto"/>
        <w:ind w:firstLine="709"/>
        <w:jc w:val="both"/>
        <w:rPr>
          <w:rFonts w:ascii="Times New Roman" w:hAnsi="Times New Roman" w:cs="Times New Roman"/>
          <w:sz w:val="24"/>
          <w:szCs w:val="24"/>
        </w:rPr>
      </w:pPr>
    </w:p>
    <w:p w14:paraId="684F84B7" w14:textId="77777777" w:rsidR="0001325B" w:rsidRDefault="0001325B" w:rsidP="00EC10C5">
      <w:pPr>
        <w:spacing w:after="60" w:line="240" w:lineRule="auto"/>
        <w:ind w:firstLine="709"/>
        <w:jc w:val="both"/>
        <w:rPr>
          <w:rFonts w:ascii="Times New Roman" w:hAnsi="Times New Roman" w:cs="Times New Roman"/>
          <w:sz w:val="24"/>
          <w:szCs w:val="24"/>
        </w:rPr>
      </w:pPr>
    </w:p>
    <w:p w14:paraId="4DA33D77" w14:textId="77777777" w:rsidR="0001325B" w:rsidRDefault="0001325B" w:rsidP="00EC10C5">
      <w:pPr>
        <w:spacing w:after="60" w:line="240" w:lineRule="auto"/>
        <w:ind w:firstLine="709"/>
        <w:jc w:val="both"/>
        <w:rPr>
          <w:rFonts w:ascii="Times New Roman" w:hAnsi="Times New Roman" w:cs="Times New Roman"/>
          <w:sz w:val="24"/>
          <w:szCs w:val="24"/>
        </w:rPr>
      </w:pPr>
    </w:p>
    <w:p w14:paraId="0A79E808" w14:textId="77777777" w:rsidR="0001325B" w:rsidRDefault="0001325B" w:rsidP="00EC10C5">
      <w:pPr>
        <w:spacing w:after="60" w:line="240" w:lineRule="auto"/>
        <w:ind w:firstLine="709"/>
        <w:jc w:val="both"/>
        <w:rPr>
          <w:rFonts w:ascii="Times New Roman" w:hAnsi="Times New Roman" w:cs="Times New Roman"/>
          <w:sz w:val="24"/>
          <w:szCs w:val="24"/>
        </w:rPr>
      </w:pPr>
    </w:p>
    <w:p w14:paraId="01C740AB" w14:textId="77777777" w:rsidR="0001325B" w:rsidRDefault="0001325B" w:rsidP="00EC10C5">
      <w:pPr>
        <w:spacing w:after="60" w:line="240" w:lineRule="auto"/>
        <w:ind w:firstLine="709"/>
        <w:jc w:val="both"/>
        <w:rPr>
          <w:rFonts w:ascii="Times New Roman" w:hAnsi="Times New Roman" w:cs="Times New Roman"/>
          <w:sz w:val="24"/>
          <w:szCs w:val="24"/>
        </w:rPr>
      </w:pPr>
    </w:p>
    <w:p w14:paraId="540897B8" w14:textId="77777777" w:rsidR="0001325B" w:rsidRPr="00CB0A5E" w:rsidRDefault="0001325B" w:rsidP="00EC10C5">
      <w:pPr>
        <w:spacing w:after="60" w:line="240" w:lineRule="auto"/>
        <w:ind w:firstLine="709"/>
        <w:jc w:val="both"/>
        <w:rPr>
          <w:rFonts w:ascii="Times New Roman" w:hAnsi="Times New Roman" w:cs="Times New Roman"/>
          <w:sz w:val="24"/>
          <w:szCs w:val="24"/>
        </w:rPr>
      </w:pPr>
    </w:p>
    <w:p w14:paraId="68B13F24" w14:textId="77777777" w:rsidR="003D50F2" w:rsidRPr="00CB0A5E" w:rsidRDefault="003D50F2" w:rsidP="00EC10C5">
      <w:pPr>
        <w:spacing w:after="60" w:line="240" w:lineRule="auto"/>
        <w:ind w:firstLine="709"/>
        <w:jc w:val="both"/>
        <w:rPr>
          <w:rFonts w:ascii="Times New Roman" w:hAnsi="Times New Roman" w:cs="Times New Roman"/>
          <w:sz w:val="24"/>
          <w:szCs w:val="24"/>
        </w:rPr>
      </w:pPr>
    </w:p>
    <w:p w14:paraId="72D03BFD" w14:textId="77777777" w:rsidR="003D50F2"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r w:rsidRPr="0001325B">
        <w:rPr>
          <w:rFonts w:ascii="Times New Roman" w:hAnsi="Times New Roman" w:cs="Times New Roman"/>
          <w:b/>
          <w:i w:val="0"/>
          <w:color w:val="000000" w:themeColor="text1"/>
          <w:sz w:val="24"/>
          <w:szCs w:val="24"/>
        </w:rPr>
        <w:lastRenderedPageBreak/>
        <w:t>1</w:t>
      </w:r>
      <w:r w:rsidR="003D50F2" w:rsidRPr="0001325B">
        <w:rPr>
          <w:rFonts w:ascii="Times New Roman" w:hAnsi="Times New Roman" w:cs="Times New Roman"/>
          <w:b/>
          <w:i w:val="0"/>
          <w:color w:val="000000" w:themeColor="text1"/>
          <w:sz w:val="24"/>
          <w:szCs w:val="24"/>
        </w:rPr>
        <w:t>. táblázat A beszerzési döntési folyamat szakaszai beszerzési típus alapján</w:t>
      </w:r>
    </w:p>
    <w:tbl>
      <w:tblPr>
        <w:tblStyle w:val="Rcsostblzat"/>
        <w:tblW w:w="0" w:type="auto"/>
        <w:tblInd w:w="432" w:type="dxa"/>
        <w:tblLook w:val="04A0" w:firstRow="1" w:lastRow="0" w:firstColumn="1" w:lastColumn="0" w:noHBand="0" w:noVBand="1"/>
      </w:tblPr>
      <w:tblGrid>
        <w:gridCol w:w="3039"/>
        <w:gridCol w:w="1830"/>
        <w:gridCol w:w="1979"/>
        <w:gridCol w:w="1780"/>
      </w:tblGrid>
      <w:tr w:rsidR="003D50F2" w:rsidRPr="00CB0A5E" w14:paraId="2B4F4327" w14:textId="77777777" w:rsidTr="003D50F2">
        <w:tc>
          <w:tcPr>
            <w:tcW w:w="3137" w:type="dxa"/>
          </w:tcPr>
          <w:p w14:paraId="399A590A"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71569F7C"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 xml:space="preserve">Egyszerű </w:t>
            </w:r>
            <w:proofErr w:type="spellStart"/>
            <w:r w:rsidRPr="00CB0A5E">
              <w:rPr>
                <w:rFonts w:ascii="Times New Roman" w:hAnsi="Times New Roman" w:cs="Times New Roman"/>
                <w:color w:val="000000"/>
                <w:kern w:val="24"/>
                <w:sz w:val="24"/>
                <w:szCs w:val="24"/>
                <w:lang w:eastAsia="hu-HU"/>
              </w:rPr>
              <w:t>újravásárlás</w:t>
            </w:r>
            <w:proofErr w:type="spellEnd"/>
          </w:p>
        </w:tc>
        <w:tc>
          <w:tcPr>
            <w:tcW w:w="1831" w:type="dxa"/>
          </w:tcPr>
          <w:p w14:paraId="2331437F"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 xml:space="preserve">Módosított </w:t>
            </w:r>
            <w:proofErr w:type="spellStart"/>
            <w:r w:rsidRPr="00CB0A5E">
              <w:rPr>
                <w:rFonts w:ascii="Times New Roman" w:hAnsi="Times New Roman" w:cs="Times New Roman"/>
                <w:color w:val="000000"/>
                <w:kern w:val="24"/>
                <w:sz w:val="24"/>
                <w:szCs w:val="24"/>
                <w:lang w:eastAsia="hu-HU"/>
              </w:rPr>
              <w:t>újravásárlás</w:t>
            </w:r>
            <w:proofErr w:type="spellEnd"/>
          </w:p>
        </w:tc>
        <w:tc>
          <w:tcPr>
            <w:tcW w:w="1831" w:type="dxa"/>
          </w:tcPr>
          <w:p w14:paraId="33F724E5"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Új beszerzés</w:t>
            </w:r>
          </w:p>
        </w:tc>
      </w:tr>
      <w:tr w:rsidR="003D50F2" w:rsidRPr="00CB0A5E" w14:paraId="156B8F45" w14:textId="77777777" w:rsidTr="003D50F2">
        <w:tc>
          <w:tcPr>
            <w:tcW w:w="3137" w:type="dxa"/>
          </w:tcPr>
          <w:p w14:paraId="1AD00078"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A probléma felismerése</w:t>
            </w:r>
          </w:p>
        </w:tc>
        <w:tc>
          <w:tcPr>
            <w:tcW w:w="1831" w:type="dxa"/>
          </w:tcPr>
          <w:p w14:paraId="38AEB224"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20F4F1E9"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6FF14185"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r w:rsidR="003D50F2" w:rsidRPr="00CB0A5E" w14:paraId="7061B3D2" w14:textId="77777777" w:rsidTr="003D50F2">
        <w:tc>
          <w:tcPr>
            <w:tcW w:w="3137" w:type="dxa"/>
          </w:tcPr>
          <w:p w14:paraId="5A63F898"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A termék paramétereinek meghatározása</w:t>
            </w:r>
          </w:p>
        </w:tc>
        <w:tc>
          <w:tcPr>
            <w:tcW w:w="1831" w:type="dxa"/>
          </w:tcPr>
          <w:p w14:paraId="4844D7B4"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1413F13B"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5C1A19EE"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r w:rsidR="003D50F2" w:rsidRPr="00CB0A5E" w14:paraId="5F533BEE" w14:textId="77777777" w:rsidTr="003D50F2">
        <w:tc>
          <w:tcPr>
            <w:tcW w:w="3137" w:type="dxa"/>
          </w:tcPr>
          <w:p w14:paraId="6F3C82DC"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A termék specifikáció leírása</w:t>
            </w:r>
          </w:p>
        </w:tc>
        <w:tc>
          <w:tcPr>
            <w:tcW w:w="1831" w:type="dxa"/>
          </w:tcPr>
          <w:p w14:paraId="7F75309F"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4DD749F5"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573D2221"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r w:rsidR="003D50F2" w:rsidRPr="00CB0A5E" w14:paraId="250CCF2C" w14:textId="77777777" w:rsidTr="003D50F2">
        <w:tc>
          <w:tcPr>
            <w:tcW w:w="3137" w:type="dxa"/>
          </w:tcPr>
          <w:p w14:paraId="172F018A"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A szállítók keresése és előminősítése</w:t>
            </w:r>
          </w:p>
        </w:tc>
        <w:tc>
          <w:tcPr>
            <w:tcW w:w="1831" w:type="dxa"/>
          </w:tcPr>
          <w:p w14:paraId="015ACA14"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1307048F"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0F46AAA2"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r w:rsidR="003D50F2" w:rsidRPr="00CB0A5E" w14:paraId="1F6C5894" w14:textId="77777777" w:rsidTr="003D50F2">
        <w:tc>
          <w:tcPr>
            <w:tcW w:w="3137" w:type="dxa"/>
          </w:tcPr>
          <w:p w14:paraId="7774A3A9"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Ajánlatok bekérése és értékelése</w:t>
            </w:r>
          </w:p>
        </w:tc>
        <w:tc>
          <w:tcPr>
            <w:tcW w:w="1831" w:type="dxa"/>
          </w:tcPr>
          <w:p w14:paraId="50B77654"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2943545A"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1707C063"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r w:rsidR="003D50F2" w:rsidRPr="00CB0A5E" w14:paraId="370F7989" w14:textId="77777777" w:rsidTr="003D50F2">
        <w:tc>
          <w:tcPr>
            <w:tcW w:w="3137" w:type="dxa"/>
          </w:tcPr>
          <w:p w14:paraId="1A8EEB9A"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A szállító kiválasztása</w:t>
            </w:r>
          </w:p>
        </w:tc>
        <w:tc>
          <w:tcPr>
            <w:tcW w:w="1831" w:type="dxa"/>
          </w:tcPr>
          <w:p w14:paraId="77F13182"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p>
        </w:tc>
        <w:tc>
          <w:tcPr>
            <w:tcW w:w="1831" w:type="dxa"/>
          </w:tcPr>
          <w:p w14:paraId="7B053BC3"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12D2ABA4"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r w:rsidR="003D50F2" w:rsidRPr="00CB0A5E" w14:paraId="18EFABA5" w14:textId="77777777" w:rsidTr="003D50F2">
        <w:tc>
          <w:tcPr>
            <w:tcW w:w="3137" w:type="dxa"/>
          </w:tcPr>
          <w:p w14:paraId="67B65722"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A termék megrendelés</w:t>
            </w:r>
          </w:p>
        </w:tc>
        <w:tc>
          <w:tcPr>
            <w:tcW w:w="1831" w:type="dxa"/>
          </w:tcPr>
          <w:p w14:paraId="59398F70"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10409E99"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1A10FE12"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r w:rsidR="003D50F2" w:rsidRPr="00CB0A5E" w14:paraId="7A49D652" w14:textId="77777777" w:rsidTr="003D50F2">
        <w:tc>
          <w:tcPr>
            <w:tcW w:w="3137" w:type="dxa"/>
          </w:tcPr>
          <w:p w14:paraId="3D9887C6"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Utólagos értékelés</w:t>
            </w:r>
          </w:p>
        </w:tc>
        <w:tc>
          <w:tcPr>
            <w:tcW w:w="1831" w:type="dxa"/>
          </w:tcPr>
          <w:p w14:paraId="1F9D7E90"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780D26A9"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c>
          <w:tcPr>
            <w:tcW w:w="1831" w:type="dxa"/>
          </w:tcPr>
          <w:p w14:paraId="2B91251F" w14:textId="77777777" w:rsidR="003D50F2" w:rsidRPr="00CB0A5E" w:rsidRDefault="003D50F2" w:rsidP="00EC10C5">
            <w:pPr>
              <w:spacing w:after="60"/>
              <w:ind w:firstLine="709"/>
              <w:rPr>
                <w:rFonts w:ascii="Times New Roman" w:hAnsi="Times New Roman" w:cs="Times New Roman"/>
                <w:color w:val="000000"/>
                <w:kern w:val="24"/>
                <w:sz w:val="24"/>
                <w:szCs w:val="24"/>
                <w:lang w:eastAsia="hu-HU"/>
              </w:rPr>
            </w:pPr>
            <w:r w:rsidRPr="00CB0A5E">
              <w:rPr>
                <w:rFonts w:ascii="Times New Roman" w:hAnsi="Times New Roman" w:cs="Times New Roman"/>
                <w:color w:val="000000"/>
                <w:kern w:val="24"/>
                <w:sz w:val="24"/>
                <w:szCs w:val="24"/>
                <w:lang w:eastAsia="hu-HU"/>
              </w:rPr>
              <w:t>x</w:t>
            </w:r>
          </w:p>
        </w:tc>
      </w:tr>
    </w:tbl>
    <w:p w14:paraId="7DB0139A" w14:textId="77777777" w:rsidR="003D50F2" w:rsidRPr="00CB0A5E" w:rsidRDefault="0001325B" w:rsidP="00EC10C5">
      <w:pPr>
        <w:spacing w:after="60" w:line="240" w:lineRule="auto"/>
        <w:ind w:firstLine="709"/>
        <w:jc w:val="both"/>
        <w:rPr>
          <w:rFonts w:ascii="Times New Roman" w:hAnsi="Times New Roman" w:cs="Times New Roman"/>
          <w:i/>
          <w:color w:val="000000"/>
          <w:kern w:val="24"/>
          <w:sz w:val="24"/>
          <w:szCs w:val="24"/>
          <w:lang w:eastAsia="hu-HU"/>
        </w:rPr>
      </w:pPr>
      <w:r>
        <w:rPr>
          <w:rFonts w:ascii="Times New Roman" w:hAnsi="Times New Roman" w:cs="Times New Roman"/>
          <w:i/>
          <w:sz w:val="24"/>
          <w:szCs w:val="24"/>
        </w:rPr>
        <w:t>F</w:t>
      </w:r>
      <w:r w:rsidR="003D50F2" w:rsidRPr="00CB0A5E">
        <w:rPr>
          <w:rFonts w:ascii="Times New Roman" w:hAnsi="Times New Roman" w:cs="Times New Roman"/>
          <w:i/>
          <w:sz w:val="24"/>
          <w:szCs w:val="24"/>
        </w:rPr>
        <w:t xml:space="preserve">orrás: </w:t>
      </w:r>
      <w:r w:rsidR="003D50F2" w:rsidRPr="00CB0A5E">
        <w:rPr>
          <w:rFonts w:ascii="Times New Roman" w:hAnsi="Times New Roman" w:cs="Times New Roman"/>
          <w:i/>
          <w:color w:val="000000"/>
          <w:kern w:val="24"/>
          <w:sz w:val="24"/>
          <w:szCs w:val="24"/>
          <w:lang w:eastAsia="hu-HU"/>
        </w:rPr>
        <w:t>Robinson–</w:t>
      </w:r>
      <w:proofErr w:type="spellStart"/>
      <w:r w:rsidR="003D50F2" w:rsidRPr="00CB0A5E">
        <w:rPr>
          <w:rFonts w:ascii="Times New Roman" w:hAnsi="Times New Roman" w:cs="Times New Roman"/>
          <w:i/>
          <w:color w:val="000000"/>
          <w:kern w:val="24"/>
          <w:sz w:val="24"/>
          <w:szCs w:val="24"/>
          <w:lang w:eastAsia="hu-HU"/>
        </w:rPr>
        <w:t>Faris</w:t>
      </w:r>
      <w:proofErr w:type="spellEnd"/>
      <w:r w:rsidR="003D50F2" w:rsidRPr="00CB0A5E">
        <w:rPr>
          <w:rFonts w:ascii="Times New Roman" w:hAnsi="Times New Roman" w:cs="Times New Roman"/>
          <w:i/>
          <w:color w:val="000000"/>
          <w:kern w:val="24"/>
          <w:sz w:val="24"/>
          <w:szCs w:val="24"/>
          <w:lang w:eastAsia="hu-HU"/>
        </w:rPr>
        <w:t>–Wind (1967)</w:t>
      </w:r>
    </w:p>
    <w:p w14:paraId="66ECF90C" w14:textId="77777777" w:rsidR="009D6142" w:rsidRPr="00CB0A5E" w:rsidRDefault="009D6142" w:rsidP="00EC10C5">
      <w:pPr>
        <w:spacing w:after="60" w:line="240" w:lineRule="auto"/>
        <w:ind w:firstLine="709"/>
        <w:jc w:val="both"/>
        <w:rPr>
          <w:rFonts w:ascii="Times New Roman" w:hAnsi="Times New Roman" w:cs="Times New Roman"/>
          <w:i/>
          <w:color w:val="000000"/>
          <w:kern w:val="24"/>
          <w:sz w:val="24"/>
          <w:szCs w:val="24"/>
          <w:lang w:eastAsia="hu-HU"/>
        </w:rPr>
      </w:pPr>
    </w:p>
    <w:p w14:paraId="2C1B362D" w14:textId="77777777" w:rsidR="004D3317" w:rsidRPr="00CB0A5E" w:rsidRDefault="004D3317" w:rsidP="00EC10C5">
      <w:pPr>
        <w:pStyle w:val="Cmsor1"/>
        <w:numPr>
          <w:ilvl w:val="0"/>
          <w:numId w:val="8"/>
        </w:numPr>
        <w:spacing w:after="60" w:line="240" w:lineRule="auto"/>
        <w:ind w:left="0" w:firstLine="709"/>
        <w:rPr>
          <w:rFonts w:ascii="Times New Roman" w:hAnsi="Times New Roman" w:cs="Times New Roman"/>
          <w:b/>
          <w:sz w:val="24"/>
          <w:szCs w:val="24"/>
        </w:rPr>
      </w:pPr>
      <w:bookmarkStart w:id="67" w:name="_Toc18440836"/>
      <w:r w:rsidRPr="00CB0A5E">
        <w:rPr>
          <w:rFonts w:ascii="Times New Roman" w:hAnsi="Times New Roman" w:cs="Times New Roman"/>
          <w:b/>
          <w:sz w:val="24"/>
          <w:szCs w:val="24"/>
        </w:rPr>
        <w:t>Marketing eszközrendszer (termék, ár, értékesítés és kommunikáció)</w:t>
      </w:r>
      <w:bookmarkEnd w:id="67"/>
    </w:p>
    <w:p w14:paraId="2AFA16A5" w14:textId="77777777" w:rsidR="004D3317" w:rsidRPr="00E2748B" w:rsidRDefault="004D3317" w:rsidP="00EC10C5">
      <w:pPr>
        <w:pStyle w:val="Cmsor2"/>
        <w:numPr>
          <w:ilvl w:val="1"/>
          <w:numId w:val="8"/>
        </w:numPr>
        <w:spacing w:after="60" w:line="240" w:lineRule="auto"/>
        <w:ind w:left="0" w:firstLine="709"/>
        <w:rPr>
          <w:rFonts w:ascii="Times New Roman" w:hAnsi="Times New Roman" w:cs="Times New Roman"/>
          <w:b/>
          <w:sz w:val="24"/>
          <w:szCs w:val="24"/>
        </w:rPr>
      </w:pPr>
      <w:bookmarkStart w:id="68" w:name="_Toc1568869"/>
      <w:bookmarkStart w:id="69" w:name="_Toc18420878"/>
      <w:bookmarkStart w:id="70" w:name="_Toc18440837"/>
      <w:r w:rsidRPr="00E2748B">
        <w:rPr>
          <w:rFonts w:ascii="Times New Roman" w:hAnsi="Times New Roman" w:cs="Times New Roman"/>
          <w:b/>
          <w:sz w:val="24"/>
          <w:szCs w:val="24"/>
        </w:rPr>
        <w:t>Termék</w:t>
      </w:r>
      <w:bookmarkEnd w:id="68"/>
      <w:bookmarkEnd w:id="69"/>
      <w:r w:rsidR="00A829C3" w:rsidRPr="00E2748B">
        <w:rPr>
          <w:rFonts w:ascii="Times New Roman" w:hAnsi="Times New Roman" w:cs="Times New Roman"/>
          <w:b/>
          <w:sz w:val="24"/>
          <w:szCs w:val="24"/>
        </w:rPr>
        <w:t>p</w:t>
      </w:r>
      <w:r w:rsidRPr="00E2748B">
        <w:rPr>
          <w:rFonts w:ascii="Times New Roman" w:hAnsi="Times New Roman" w:cs="Times New Roman"/>
          <w:b/>
          <w:sz w:val="24"/>
          <w:szCs w:val="24"/>
        </w:rPr>
        <w:t xml:space="preserve">olitikai </w:t>
      </w:r>
      <w:r w:rsidR="009D6142" w:rsidRPr="00E2748B">
        <w:rPr>
          <w:rFonts w:ascii="Times New Roman" w:hAnsi="Times New Roman" w:cs="Times New Roman"/>
          <w:b/>
          <w:sz w:val="24"/>
          <w:szCs w:val="24"/>
        </w:rPr>
        <w:t>d</w:t>
      </w:r>
      <w:r w:rsidRPr="00E2748B">
        <w:rPr>
          <w:rFonts w:ascii="Times New Roman" w:hAnsi="Times New Roman" w:cs="Times New Roman"/>
          <w:b/>
          <w:sz w:val="24"/>
          <w:szCs w:val="24"/>
        </w:rPr>
        <w:t>öntések</w:t>
      </w:r>
      <w:bookmarkEnd w:id="70"/>
    </w:p>
    <w:p w14:paraId="5743778E" w14:textId="77777777" w:rsidR="004D3317" w:rsidRPr="00CB0A5E" w:rsidRDefault="004D3317" w:rsidP="00EC10C5">
      <w:pPr>
        <w:pStyle w:val="Stlus1"/>
      </w:pPr>
      <w:bookmarkStart w:id="71" w:name="_Toc1568870"/>
      <w:bookmarkStart w:id="72" w:name="_Toc18420879"/>
      <w:bookmarkStart w:id="73" w:name="_Toc18440838"/>
      <w:r w:rsidRPr="00CB0A5E">
        <w:t>A termék fogalma</w:t>
      </w:r>
      <w:bookmarkEnd w:id="71"/>
      <w:bookmarkEnd w:id="72"/>
      <w:bookmarkEnd w:id="73"/>
    </w:p>
    <w:p w14:paraId="524E6497"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Termék mindaz, amit a piacon felkínálnak, ami szükségleteket elégít ki, és csere tárgya lehet.</w:t>
      </w:r>
      <w:r w:rsidR="00E2748B">
        <w:rPr>
          <w:rFonts w:ascii="Times New Roman" w:hAnsi="Times New Roman" w:cs="Times New Roman"/>
          <w:sz w:val="24"/>
          <w:szCs w:val="24"/>
        </w:rPr>
        <w:t xml:space="preserve"> </w:t>
      </w:r>
      <w:r w:rsidRPr="00CB0A5E">
        <w:rPr>
          <w:rFonts w:ascii="Times New Roman" w:hAnsi="Times New Roman" w:cs="Times New Roman"/>
          <w:sz w:val="24"/>
          <w:szCs w:val="24"/>
        </w:rPr>
        <w:t>Pl. fizikai termékek, szolgáltatások, élmények, események, személyek, földrajzi helyek, vagyontárgyak, szervezetek, információk és ötletek.</w:t>
      </w:r>
    </w:p>
    <w:p w14:paraId="2475E52D" w14:textId="77777777" w:rsidR="004D3317" w:rsidRDefault="004D3317" w:rsidP="00EC10C5">
      <w:pPr>
        <w:spacing w:after="60" w:line="240" w:lineRule="auto"/>
        <w:ind w:firstLine="709"/>
        <w:jc w:val="both"/>
        <w:rPr>
          <w:rFonts w:ascii="Times New Roman" w:eastAsia="Times New Roman" w:hAnsi="Times New Roman" w:cs="Times New Roman"/>
          <w:sz w:val="24"/>
          <w:szCs w:val="24"/>
          <w:lang w:eastAsia="hu-HU"/>
        </w:rPr>
      </w:pPr>
      <w:r w:rsidRPr="00CB0A5E">
        <w:rPr>
          <w:rFonts w:ascii="Times New Roman" w:hAnsi="Times New Roman" w:cs="Times New Roman"/>
          <w:sz w:val="24"/>
          <w:szCs w:val="24"/>
        </w:rPr>
        <w:t xml:space="preserve">A szolgáltatás olyan tevékenység vagy teljesítmény, amelyet egyik fél nyújt a másiknak, amely alapjában véve nem tárgyiasult és nem eredményez tulajdonjogot semmi fölött. A termékek és szolgáltatások nem mindig különülnek el a cégek tevékenységében. </w:t>
      </w:r>
      <w:r w:rsidRPr="00CB0A5E">
        <w:rPr>
          <w:rFonts w:ascii="Times New Roman" w:eastAsia="Times New Roman" w:hAnsi="Times New Roman" w:cs="Times New Roman"/>
          <w:sz w:val="24"/>
          <w:szCs w:val="24"/>
          <w:lang w:eastAsia="hu-HU"/>
        </w:rPr>
        <w:t xml:space="preserve">A vállalat piaci kínálata gyakran magában foglalja mind a tárgyi eszközöket, mind a szolgáltatásokat. Egy szélsőséges esetben a piaci ajánlat állhat </w:t>
      </w:r>
      <w:r w:rsidRPr="00CB0A5E">
        <w:rPr>
          <w:rFonts w:ascii="Times New Roman" w:eastAsia="Times New Roman" w:hAnsi="Times New Roman" w:cs="Times New Roman"/>
          <w:b/>
          <w:sz w:val="24"/>
          <w:szCs w:val="24"/>
          <w:lang w:eastAsia="hu-HU"/>
        </w:rPr>
        <w:t>tisztán kézzelfogható termékből</w:t>
      </w:r>
      <w:r w:rsidRPr="00CB0A5E">
        <w:rPr>
          <w:rFonts w:ascii="Times New Roman" w:eastAsia="Times New Roman" w:hAnsi="Times New Roman" w:cs="Times New Roman"/>
          <w:sz w:val="24"/>
          <w:szCs w:val="24"/>
          <w:lang w:eastAsia="hu-HU"/>
        </w:rPr>
        <w:t xml:space="preserve">, például szappanból; amely termékhez nem tartozik semmilyen szolgáltatás. A másik szélsőséges eset az, amikor a cégek olyan szolgáltatásokat kínálnak, amelyek </w:t>
      </w:r>
      <w:r w:rsidRPr="00CB0A5E">
        <w:rPr>
          <w:rFonts w:ascii="Times New Roman" w:eastAsia="Times New Roman" w:hAnsi="Times New Roman" w:cs="Times New Roman"/>
          <w:b/>
          <w:sz w:val="24"/>
          <w:szCs w:val="24"/>
          <w:lang w:eastAsia="hu-HU"/>
        </w:rPr>
        <w:t>tisztán szolgáltatásból</w:t>
      </w:r>
      <w:r w:rsidRPr="00CB0A5E">
        <w:rPr>
          <w:rFonts w:ascii="Times New Roman" w:eastAsia="Times New Roman" w:hAnsi="Times New Roman" w:cs="Times New Roman"/>
          <w:sz w:val="24"/>
          <w:szCs w:val="24"/>
          <w:lang w:eastAsia="hu-HU"/>
        </w:rPr>
        <w:t xml:space="preserve"> állnak. Ilyenek például az orvosi vizsgálatok vagy a pénzügyi szolgáltatások. E két szélsőség között azonban számos áru- és szolgáltatáskombináció lehetséges.</w:t>
      </w:r>
    </w:p>
    <w:p w14:paraId="59E5AD89" w14:textId="77777777" w:rsidR="0001325B" w:rsidRPr="00CB0A5E" w:rsidRDefault="0001325B" w:rsidP="00EC10C5">
      <w:pPr>
        <w:spacing w:after="60" w:line="240" w:lineRule="auto"/>
        <w:ind w:firstLine="709"/>
        <w:jc w:val="both"/>
        <w:rPr>
          <w:rFonts w:ascii="Times New Roman" w:eastAsia="Times New Roman" w:hAnsi="Times New Roman" w:cs="Times New Roman"/>
          <w:sz w:val="24"/>
          <w:szCs w:val="24"/>
          <w:lang w:eastAsia="hu-HU"/>
        </w:rPr>
      </w:pPr>
    </w:p>
    <w:p w14:paraId="5B3F57D4" w14:textId="77777777" w:rsidR="004D3317" w:rsidRPr="00CB0A5E" w:rsidRDefault="004D3317" w:rsidP="00EC10C5">
      <w:pPr>
        <w:spacing w:after="60" w:line="240" w:lineRule="auto"/>
        <w:ind w:firstLine="709"/>
        <w:jc w:val="both"/>
        <w:rPr>
          <w:rFonts w:ascii="Times New Roman" w:eastAsia="Times New Roman" w:hAnsi="Times New Roman" w:cs="Times New Roman"/>
          <w:b/>
          <w:sz w:val="24"/>
          <w:szCs w:val="24"/>
          <w:lang w:eastAsia="hu-HU"/>
        </w:rPr>
      </w:pPr>
      <w:r w:rsidRPr="00CB0A5E">
        <w:rPr>
          <w:rFonts w:ascii="Times New Roman" w:eastAsia="Times New Roman" w:hAnsi="Times New Roman" w:cs="Times New Roman"/>
          <w:b/>
          <w:sz w:val="24"/>
          <w:szCs w:val="24"/>
          <w:lang w:eastAsia="hu-HU"/>
        </w:rPr>
        <w:t xml:space="preserve">A termékhagyma fogalma </w:t>
      </w:r>
    </w:p>
    <w:p w14:paraId="281951E9" w14:textId="77777777" w:rsidR="004D3317"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eastAsia="Times New Roman" w:hAnsi="Times New Roman" w:cs="Times New Roman"/>
          <w:sz w:val="24"/>
          <w:szCs w:val="24"/>
          <w:lang w:eastAsia="hu-HU"/>
        </w:rPr>
        <w:t xml:space="preserve">A terméktervezőknek három szinten kell gondolkodniuk a termékekről és szolgáltatásokról: az alaphasznosság, a tényleges termék és a kiterjesztett termék. Minden szint újabb ügyfélértéket ad hozzá a termékhez. A legalapvetőbb szint a termék által nyújtott </w:t>
      </w:r>
      <w:r w:rsidRPr="00CB0A5E">
        <w:rPr>
          <w:rFonts w:ascii="Times New Roman" w:eastAsia="Times New Roman" w:hAnsi="Times New Roman" w:cs="Times New Roman"/>
          <w:b/>
          <w:sz w:val="24"/>
          <w:szCs w:val="24"/>
          <w:lang w:eastAsia="hu-HU"/>
        </w:rPr>
        <w:t>alaphasznosság</w:t>
      </w:r>
      <w:r w:rsidRPr="00CB0A5E">
        <w:rPr>
          <w:rFonts w:ascii="Times New Roman" w:eastAsia="Times New Roman" w:hAnsi="Times New Roman" w:cs="Times New Roman"/>
          <w:sz w:val="24"/>
          <w:szCs w:val="24"/>
          <w:lang w:eastAsia="hu-HU"/>
        </w:rPr>
        <w:t xml:space="preserve">, amely a következő kérdéssel foglalkozik: Mi a vásárló valójában vásárol? A második szinten a terméktervezőknek az alapvető előnyöket </w:t>
      </w:r>
      <w:r w:rsidRPr="00CB0A5E">
        <w:rPr>
          <w:rFonts w:ascii="Times New Roman" w:eastAsia="Times New Roman" w:hAnsi="Times New Roman" w:cs="Times New Roman"/>
          <w:b/>
          <w:sz w:val="24"/>
          <w:szCs w:val="24"/>
          <w:lang w:eastAsia="hu-HU"/>
        </w:rPr>
        <w:t>tényleges termék</w:t>
      </w:r>
      <w:r w:rsidRPr="00CB0A5E">
        <w:rPr>
          <w:rFonts w:ascii="Times New Roman" w:eastAsia="Times New Roman" w:hAnsi="Times New Roman" w:cs="Times New Roman"/>
          <w:sz w:val="24"/>
          <w:szCs w:val="24"/>
          <w:lang w:eastAsia="hu-HU"/>
        </w:rPr>
        <w:t xml:space="preserve">ké kell alakítaniuk. Szükségük van termék- és szolgáltatásjellemzők, tervezés, minőségi szint, márkanév és csomagolás kifejlesztésére. Végül, a terméktervezőknek olyan </w:t>
      </w:r>
      <w:r w:rsidRPr="00CB0A5E">
        <w:rPr>
          <w:rFonts w:ascii="Times New Roman" w:eastAsia="Times New Roman" w:hAnsi="Times New Roman" w:cs="Times New Roman"/>
          <w:b/>
          <w:sz w:val="24"/>
          <w:szCs w:val="24"/>
          <w:lang w:eastAsia="hu-HU"/>
        </w:rPr>
        <w:t xml:space="preserve">kiterjesztett </w:t>
      </w:r>
      <w:r w:rsidRPr="00CB0A5E">
        <w:rPr>
          <w:rFonts w:ascii="Times New Roman" w:eastAsia="Times New Roman" w:hAnsi="Times New Roman" w:cs="Times New Roman"/>
          <w:b/>
          <w:sz w:val="24"/>
          <w:szCs w:val="24"/>
          <w:lang w:eastAsia="hu-HU"/>
        </w:rPr>
        <w:lastRenderedPageBreak/>
        <w:t>termék</w:t>
      </w:r>
      <w:r w:rsidRPr="00CB0A5E">
        <w:rPr>
          <w:rFonts w:ascii="Times New Roman" w:eastAsia="Times New Roman" w:hAnsi="Times New Roman" w:cs="Times New Roman"/>
          <w:sz w:val="24"/>
          <w:szCs w:val="24"/>
          <w:lang w:eastAsia="hu-HU"/>
        </w:rPr>
        <w:t>et kell építeniük, amely az alapvető hasznok és a tényleges termék köré épül, további fogyasztói szolgáltatásokkal és előnyökkel.</w:t>
      </w:r>
      <w:r w:rsidRPr="00CB0A5E">
        <w:rPr>
          <w:rFonts w:ascii="Times New Roman" w:hAnsi="Times New Roman" w:cs="Times New Roman"/>
          <w:sz w:val="24"/>
          <w:szCs w:val="24"/>
        </w:rPr>
        <w:tab/>
      </w:r>
    </w:p>
    <w:p w14:paraId="6E680EB7" w14:textId="77777777" w:rsidR="0001325B" w:rsidRPr="00CB0A5E" w:rsidRDefault="0001325B" w:rsidP="00EC10C5">
      <w:pPr>
        <w:spacing w:after="60" w:line="240" w:lineRule="auto"/>
        <w:ind w:firstLine="709"/>
        <w:jc w:val="both"/>
        <w:rPr>
          <w:rFonts w:ascii="Times New Roman" w:hAnsi="Times New Roman" w:cs="Times New Roman"/>
          <w:sz w:val="24"/>
          <w:szCs w:val="24"/>
        </w:rPr>
      </w:pPr>
    </w:p>
    <w:p w14:paraId="29096FBA" w14:textId="77777777" w:rsidR="004D3317" w:rsidRPr="00CB0A5E" w:rsidRDefault="004D3317" w:rsidP="00EC10C5">
      <w:pPr>
        <w:pStyle w:val="Stlus1"/>
      </w:pPr>
      <w:bookmarkStart w:id="74" w:name="_Toc1568871"/>
      <w:bookmarkStart w:id="75" w:name="_Toc18420880"/>
      <w:bookmarkStart w:id="76" w:name="_Toc18440839"/>
      <w:r w:rsidRPr="00CB0A5E">
        <w:t>A termékek csoportosítása</w:t>
      </w:r>
      <w:bookmarkEnd w:id="74"/>
      <w:bookmarkEnd w:id="75"/>
      <w:bookmarkEnd w:id="76"/>
    </w:p>
    <w:p w14:paraId="6A10061D"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termékek két nagy csoportját különböztetjük meg: fogyasztási cikkek és termelőeszközök. </w:t>
      </w:r>
    </w:p>
    <w:p w14:paraId="03C774AF" w14:textId="77777777" w:rsidR="004D3317" w:rsidRPr="00CB0A5E" w:rsidRDefault="004D3317"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b/>
          <w:bCs/>
          <w:sz w:val="24"/>
          <w:szCs w:val="24"/>
        </w:rPr>
        <w:t xml:space="preserve">A fogyasztási cikkek </w:t>
      </w:r>
      <w:r w:rsidRPr="00CB0A5E">
        <w:rPr>
          <w:rFonts w:ascii="Times New Roman" w:hAnsi="Times New Roman" w:cs="Times New Roman"/>
          <w:sz w:val="24"/>
          <w:szCs w:val="24"/>
        </w:rPr>
        <w:t xml:space="preserve">azok a termékek, amelyeket a végfelhasználók vásárolnak személyes fogyasztásra. A fogyasztási cikkek négy csoportra bonthatók: </w:t>
      </w:r>
      <w:r w:rsidRPr="00CB0A5E">
        <w:rPr>
          <w:rFonts w:ascii="Times New Roman" w:hAnsi="Times New Roman" w:cs="Times New Roman"/>
          <w:b/>
          <w:sz w:val="24"/>
          <w:szCs w:val="24"/>
        </w:rPr>
        <w:t>kényelmi termékek, bevásárlási javak, speciális termékek, nem keresett termékek.</w:t>
      </w:r>
    </w:p>
    <w:p w14:paraId="15D41181" w14:textId="77777777" w:rsidR="004D3317" w:rsidRPr="00CB0A5E" w:rsidRDefault="004D3317" w:rsidP="00EC10C5">
      <w:pPr>
        <w:pStyle w:val="Listaszerbekezds"/>
        <w:numPr>
          <w:ilvl w:val="0"/>
          <w:numId w:val="28"/>
        </w:numPr>
        <w:spacing w:after="60" w:line="240" w:lineRule="auto"/>
        <w:ind w:left="567" w:firstLine="709"/>
        <w:rPr>
          <w:rFonts w:cs="Times New Roman"/>
          <w:szCs w:val="24"/>
        </w:rPr>
      </w:pPr>
      <w:r w:rsidRPr="00CB0A5E">
        <w:rPr>
          <w:rFonts w:cs="Times New Roman"/>
          <w:bCs/>
          <w:szCs w:val="24"/>
        </w:rPr>
        <w:t>A kényelmi termékek</w:t>
      </w:r>
      <w:r w:rsidRPr="00CB0A5E">
        <w:rPr>
          <w:rFonts w:cs="Times New Roman"/>
          <w:b/>
          <w:bCs/>
          <w:szCs w:val="24"/>
        </w:rPr>
        <w:t xml:space="preserve"> </w:t>
      </w:r>
      <w:r w:rsidRPr="00CB0A5E">
        <w:rPr>
          <w:rFonts w:cs="Times New Roman"/>
          <w:szCs w:val="24"/>
        </w:rPr>
        <w:t xml:space="preserve">többnyire gyakran, pillanatnyi megfontolás alapján és minimális erőbefektetéssel vásárolja. Ilyenek például az üdítőitalok, a szappan és a napilapok. Ide tartoznak a </w:t>
      </w:r>
      <w:r w:rsidRPr="00CB0A5E">
        <w:rPr>
          <w:rFonts w:cs="Times New Roman"/>
          <w:b/>
          <w:bCs/>
          <w:szCs w:val="24"/>
        </w:rPr>
        <w:t xml:space="preserve">háztartási alaptermékek </w:t>
      </w:r>
      <w:r w:rsidRPr="00CB0A5E">
        <w:rPr>
          <w:rFonts w:cs="Times New Roman"/>
          <w:szCs w:val="24"/>
        </w:rPr>
        <w:t>(</w:t>
      </w:r>
      <w:proofErr w:type="spellStart"/>
      <w:r w:rsidRPr="00CB0A5E">
        <w:rPr>
          <w:rFonts w:cs="Times New Roman"/>
          <w:szCs w:val="24"/>
        </w:rPr>
        <w:t>staples</w:t>
      </w:r>
      <w:proofErr w:type="spellEnd"/>
      <w:r w:rsidRPr="00CB0A5E">
        <w:rPr>
          <w:rFonts w:cs="Times New Roman"/>
          <w:szCs w:val="24"/>
        </w:rPr>
        <w:t>) a fogyasztók rendszeresen beszereznek. Pl. tej, sajt, tészta, fogkrém, az</w:t>
      </w:r>
      <w:r w:rsidRPr="00CB0A5E">
        <w:rPr>
          <w:rFonts w:cs="Times New Roman"/>
          <w:b/>
          <w:bCs/>
          <w:szCs w:val="24"/>
        </w:rPr>
        <w:t xml:space="preserve"> impulzuscikkek, </w:t>
      </w:r>
      <w:r w:rsidRPr="00CB0A5E">
        <w:rPr>
          <w:rFonts w:cs="Times New Roman"/>
          <w:bCs/>
          <w:szCs w:val="24"/>
        </w:rPr>
        <w:t>amelyeket</w:t>
      </w:r>
      <w:r w:rsidRPr="00CB0A5E">
        <w:rPr>
          <w:rFonts w:cs="Times New Roman"/>
          <w:b/>
          <w:bCs/>
          <w:szCs w:val="24"/>
        </w:rPr>
        <w:t xml:space="preserve"> </w:t>
      </w:r>
      <w:r w:rsidRPr="00CB0A5E">
        <w:rPr>
          <w:rFonts w:cs="Times New Roman"/>
          <w:bCs/>
          <w:szCs w:val="24"/>
        </w:rPr>
        <w:t xml:space="preserve">jellemzően előzetes </w:t>
      </w:r>
      <w:r w:rsidRPr="00CB0A5E">
        <w:rPr>
          <w:rFonts w:cs="Times New Roman"/>
          <w:szCs w:val="24"/>
        </w:rPr>
        <w:t xml:space="preserve">tervezés vagy keresés nélkül vásárol meg a fogyasztó (például csoki, </w:t>
      </w:r>
      <w:proofErr w:type="gramStart"/>
      <w:r w:rsidRPr="00CB0A5E">
        <w:rPr>
          <w:rFonts w:cs="Times New Roman"/>
          <w:szCs w:val="24"/>
        </w:rPr>
        <w:t>keksz..</w:t>
      </w:r>
      <w:proofErr w:type="gramEnd"/>
      <w:r w:rsidRPr="00CB0A5E">
        <w:rPr>
          <w:rFonts w:cs="Times New Roman"/>
          <w:szCs w:val="24"/>
        </w:rPr>
        <w:t xml:space="preserve">). Végül kényelmi termékek az ún. </w:t>
      </w:r>
      <w:r w:rsidRPr="00CB0A5E">
        <w:rPr>
          <w:rFonts w:cs="Times New Roman"/>
          <w:b/>
          <w:bCs/>
          <w:szCs w:val="24"/>
        </w:rPr>
        <w:t xml:space="preserve">vészhelyzet termékeket, amelyeket </w:t>
      </w:r>
      <w:r w:rsidRPr="00CB0A5E">
        <w:rPr>
          <w:rFonts w:cs="Times New Roman"/>
          <w:szCs w:val="24"/>
        </w:rPr>
        <w:t>a fogyasztók a szükséglet hirtelen felmerülése esetén vásárolnak meg.</w:t>
      </w:r>
    </w:p>
    <w:p w14:paraId="03B0309F" w14:textId="77777777" w:rsidR="004D3317" w:rsidRPr="00CB0A5E" w:rsidRDefault="004D3317" w:rsidP="00EC10C5">
      <w:pPr>
        <w:pStyle w:val="Listaszerbekezds"/>
        <w:numPr>
          <w:ilvl w:val="0"/>
          <w:numId w:val="28"/>
        </w:numPr>
        <w:spacing w:after="60" w:line="240" w:lineRule="auto"/>
        <w:ind w:left="567" w:firstLine="709"/>
        <w:rPr>
          <w:rFonts w:cs="Times New Roman"/>
          <w:szCs w:val="24"/>
        </w:rPr>
      </w:pPr>
      <w:r w:rsidRPr="00CB0A5E">
        <w:rPr>
          <w:rFonts w:cs="Times New Roman"/>
          <w:bCs/>
          <w:szCs w:val="24"/>
        </w:rPr>
        <w:t>A bevásárlási javak</w:t>
      </w:r>
      <w:r w:rsidRPr="00CB0A5E">
        <w:rPr>
          <w:rFonts w:cs="Times New Roman"/>
          <w:b/>
          <w:bCs/>
          <w:szCs w:val="24"/>
        </w:rPr>
        <w:t xml:space="preserve"> </w:t>
      </w:r>
      <w:r w:rsidRPr="00CB0A5E">
        <w:rPr>
          <w:rFonts w:cs="Times New Roman"/>
          <w:szCs w:val="24"/>
        </w:rPr>
        <w:t xml:space="preserve">(shopping </w:t>
      </w:r>
      <w:proofErr w:type="spellStart"/>
      <w:r w:rsidRPr="00CB0A5E">
        <w:rPr>
          <w:rFonts w:cs="Times New Roman"/>
          <w:szCs w:val="24"/>
        </w:rPr>
        <w:t>goods</w:t>
      </w:r>
      <w:proofErr w:type="spellEnd"/>
      <w:r w:rsidRPr="00CB0A5E">
        <w:rPr>
          <w:rFonts w:cs="Times New Roman"/>
          <w:szCs w:val="24"/>
        </w:rPr>
        <w:t xml:space="preserve">) olyan termékek, amelyek között a fogyasztók a megfelelőség, a minőség, az ár és a stílus alapján válogatnak. </w:t>
      </w:r>
      <w:r w:rsidRPr="00CB0A5E">
        <w:rPr>
          <w:rFonts w:cs="Times New Roman"/>
          <w:iCs/>
          <w:szCs w:val="24"/>
        </w:rPr>
        <w:t xml:space="preserve">Például: a bútorok, a ruházati cikkek és a nagyobb méretű háztartási készülékek. Megkülönböztetünk homogén és heterogén cikkeket. </w:t>
      </w:r>
      <w:r w:rsidRPr="00CB0A5E">
        <w:rPr>
          <w:rFonts w:cs="Times New Roman"/>
          <w:szCs w:val="24"/>
        </w:rPr>
        <w:t xml:space="preserve">A </w:t>
      </w:r>
      <w:r w:rsidRPr="00CB0A5E">
        <w:rPr>
          <w:rFonts w:cs="Times New Roman"/>
          <w:b/>
          <w:bCs/>
          <w:szCs w:val="24"/>
        </w:rPr>
        <w:t xml:space="preserve">homogén cikkek </w:t>
      </w:r>
      <w:r w:rsidRPr="00CB0A5E">
        <w:rPr>
          <w:rFonts w:cs="Times New Roman"/>
          <w:szCs w:val="24"/>
        </w:rPr>
        <w:t xml:space="preserve">minősége hasonló, áruk viszont eléggé különböző ahhoz, hogy a vevő a vásárlás során összehasonlítsa őket. A </w:t>
      </w:r>
      <w:r w:rsidRPr="00CB0A5E">
        <w:rPr>
          <w:rFonts w:cs="Times New Roman"/>
          <w:b/>
          <w:bCs/>
          <w:szCs w:val="24"/>
        </w:rPr>
        <w:t xml:space="preserve">heterogén cikkek </w:t>
      </w:r>
      <w:r w:rsidRPr="00CB0A5E">
        <w:rPr>
          <w:rFonts w:cs="Times New Roman"/>
          <w:szCs w:val="24"/>
        </w:rPr>
        <w:t>termékjellemzői és kapcsolódó szolgáltatásai különbözőek, s ezek néha az árnál fontosabbak lehetnek.</w:t>
      </w:r>
    </w:p>
    <w:p w14:paraId="1946046D" w14:textId="77777777" w:rsidR="004D3317" w:rsidRPr="00CB0A5E" w:rsidRDefault="004D3317" w:rsidP="00EC10C5">
      <w:pPr>
        <w:pStyle w:val="Listaszerbekezds"/>
        <w:numPr>
          <w:ilvl w:val="0"/>
          <w:numId w:val="28"/>
        </w:numPr>
        <w:spacing w:after="60" w:line="240" w:lineRule="auto"/>
        <w:ind w:left="567" w:firstLine="709"/>
        <w:rPr>
          <w:rFonts w:cs="Times New Roman"/>
          <w:szCs w:val="24"/>
        </w:rPr>
      </w:pPr>
      <w:r w:rsidRPr="00CB0A5E">
        <w:rPr>
          <w:rFonts w:cs="Times New Roman"/>
          <w:bCs/>
          <w:szCs w:val="24"/>
        </w:rPr>
        <w:t>A speciális termékek</w:t>
      </w:r>
      <w:r w:rsidRPr="00CB0A5E">
        <w:rPr>
          <w:rFonts w:cs="Times New Roman"/>
          <w:b/>
          <w:bCs/>
          <w:szCs w:val="24"/>
        </w:rPr>
        <w:t xml:space="preserve"> </w:t>
      </w:r>
      <w:r w:rsidRPr="00CB0A5E">
        <w:rPr>
          <w:rFonts w:cs="Times New Roman"/>
          <w:szCs w:val="24"/>
        </w:rPr>
        <w:t>(</w:t>
      </w:r>
      <w:proofErr w:type="spellStart"/>
      <w:r w:rsidRPr="00CB0A5E">
        <w:rPr>
          <w:rFonts w:cs="Times New Roman"/>
          <w:szCs w:val="24"/>
        </w:rPr>
        <w:t>specialty</w:t>
      </w:r>
      <w:proofErr w:type="spellEnd"/>
      <w:r w:rsidRPr="00CB0A5E">
        <w:rPr>
          <w:rFonts w:cs="Times New Roman"/>
          <w:szCs w:val="24"/>
        </w:rPr>
        <w:t xml:space="preserve"> </w:t>
      </w:r>
      <w:proofErr w:type="spellStart"/>
      <w:r w:rsidRPr="00CB0A5E">
        <w:rPr>
          <w:rFonts w:cs="Times New Roman"/>
          <w:szCs w:val="24"/>
        </w:rPr>
        <w:t>goods</w:t>
      </w:r>
      <w:proofErr w:type="spellEnd"/>
      <w:r w:rsidRPr="00CB0A5E">
        <w:rPr>
          <w:rFonts w:cs="Times New Roman"/>
          <w:szCs w:val="24"/>
        </w:rPr>
        <w:t>) olyan egyedi jellemzőkkel vagy márkatulajdonságokkal rendelkeznek, amelyekért a vevők bizonyos csoportja hajlandó rendkívüli erőfeszítést is tenni a vásárlás során.</w:t>
      </w:r>
      <w:r w:rsidRPr="00CB0A5E">
        <w:rPr>
          <w:rFonts w:cs="Times New Roman"/>
          <w:b/>
          <w:bCs/>
          <w:szCs w:val="24"/>
        </w:rPr>
        <w:t xml:space="preserve"> </w:t>
      </w:r>
      <w:r w:rsidRPr="00CB0A5E">
        <w:rPr>
          <w:rFonts w:cs="Times New Roman"/>
          <w:bCs/>
          <w:szCs w:val="24"/>
        </w:rPr>
        <w:t>Ilyenek például az eg</w:t>
      </w:r>
      <w:r w:rsidRPr="00CB0A5E">
        <w:rPr>
          <w:rFonts w:cs="Times New Roman"/>
          <w:szCs w:val="24"/>
        </w:rPr>
        <w:t xml:space="preserve">észségügyi szolgáltatások, </w:t>
      </w:r>
      <w:proofErr w:type="spellStart"/>
      <w:r w:rsidRPr="00CB0A5E">
        <w:rPr>
          <w:rFonts w:cs="Times New Roman"/>
          <w:szCs w:val="24"/>
        </w:rPr>
        <w:t>designer</w:t>
      </w:r>
      <w:proofErr w:type="spellEnd"/>
      <w:r w:rsidRPr="00CB0A5E">
        <w:rPr>
          <w:rFonts w:cs="Times New Roman"/>
          <w:szCs w:val="24"/>
        </w:rPr>
        <w:t xml:space="preserve"> ruhák, luxusautók. </w:t>
      </w:r>
    </w:p>
    <w:p w14:paraId="2E249A12" w14:textId="77777777" w:rsidR="004D3317" w:rsidRPr="00CB0A5E" w:rsidRDefault="004D3317" w:rsidP="00EC10C5">
      <w:pPr>
        <w:pStyle w:val="Listaszerbekezds"/>
        <w:numPr>
          <w:ilvl w:val="0"/>
          <w:numId w:val="28"/>
        </w:numPr>
        <w:spacing w:after="60" w:line="240" w:lineRule="auto"/>
        <w:ind w:left="567" w:firstLine="709"/>
        <w:rPr>
          <w:rFonts w:cs="Times New Roman"/>
          <w:szCs w:val="24"/>
        </w:rPr>
      </w:pPr>
      <w:r w:rsidRPr="00CB0A5E">
        <w:rPr>
          <w:rFonts w:cs="Times New Roman"/>
          <w:bCs/>
          <w:szCs w:val="24"/>
        </w:rPr>
        <w:t>A nem keresett termékek</w:t>
      </w:r>
      <w:r w:rsidRPr="00CB0A5E">
        <w:rPr>
          <w:rFonts w:cs="Times New Roman"/>
          <w:b/>
          <w:bCs/>
          <w:szCs w:val="24"/>
        </w:rPr>
        <w:t xml:space="preserve"> </w:t>
      </w:r>
      <w:r w:rsidRPr="00CB0A5E">
        <w:rPr>
          <w:rFonts w:cs="Times New Roman"/>
          <w:szCs w:val="24"/>
        </w:rPr>
        <w:t>(</w:t>
      </w:r>
      <w:proofErr w:type="spellStart"/>
      <w:r w:rsidRPr="00CB0A5E">
        <w:rPr>
          <w:rFonts w:cs="Times New Roman"/>
          <w:szCs w:val="24"/>
        </w:rPr>
        <w:t>unsought</w:t>
      </w:r>
      <w:proofErr w:type="spellEnd"/>
      <w:r w:rsidRPr="00CB0A5E">
        <w:rPr>
          <w:rFonts w:cs="Times New Roman"/>
          <w:szCs w:val="24"/>
        </w:rPr>
        <w:t xml:space="preserve"> </w:t>
      </w:r>
      <w:proofErr w:type="spellStart"/>
      <w:r w:rsidRPr="00CB0A5E">
        <w:rPr>
          <w:rFonts w:cs="Times New Roman"/>
          <w:szCs w:val="24"/>
        </w:rPr>
        <w:t>products</w:t>
      </w:r>
      <w:proofErr w:type="spellEnd"/>
      <w:r w:rsidRPr="00CB0A5E">
        <w:rPr>
          <w:rFonts w:cs="Times New Roman"/>
          <w:szCs w:val="24"/>
        </w:rPr>
        <w:t>) esetében a fogyasztó nem tud létezésükről, vagy magától nem is gondol ezek megvásárlására. Pl. életbiztosítás, temetési szolgáltatás, füstérzékelő.</w:t>
      </w:r>
    </w:p>
    <w:p w14:paraId="4D378186"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termelőeszközöket </w:t>
      </w:r>
      <w:r w:rsidRPr="00CB0A5E">
        <w:rPr>
          <w:rFonts w:ascii="Times New Roman" w:hAnsi="Times New Roman" w:cs="Times New Roman"/>
          <w:sz w:val="24"/>
          <w:szCs w:val="24"/>
        </w:rPr>
        <w:t>viszonylagos költségességük és a gyártási folyamatban játszott szerepük szerint csoportosíthatjuk.</w:t>
      </w:r>
    </w:p>
    <w:p w14:paraId="6570DB7A" w14:textId="77777777" w:rsidR="004D3317" w:rsidRPr="00CB0A5E" w:rsidRDefault="004D3317" w:rsidP="00EC10C5">
      <w:pPr>
        <w:pStyle w:val="Listaszerbekezds"/>
        <w:numPr>
          <w:ilvl w:val="0"/>
          <w:numId w:val="28"/>
        </w:numPr>
        <w:spacing w:after="60" w:line="240" w:lineRule="auto"/>
        <w:ind w:left="567" w:firstLine="709"/>
        <w:rPr>
          <w:rFonts w:cs="Times New Roman"/>
          <w:szCs w:val="24"/>
        </w:rPr>
      </w:pPr>
      <w:r w:rsidRPr="00E2748B">
        <w:rPr>
          <w:rFonts w:cs="Times New Roman"/>
          <w:bCs/>
          <w:szCs w:val="24"/>
        </w:rPr>
        <w:t>Az</w:t>
      </w:r>
      <w:r w:rsidRPr="00CB0A5E">
        <w:rPr>
          <w:rFonts w:cs="Times New Roman"/>
          <w:b/>
          <w:szCs w:val="24"/>
        </w:rPr>
        <w:t xml:space="preserve"> alapanyagok és alkatrészek</w:t>
      </w:r>
      <w:r w:rsidRPr="00CB0A5E">
        <w:rPr>
          <w:rFonts w:cs="Times New Roman"/>
          <w:szCs w:val="24"/>
        </w:rPr>
        <w:t xml:space="preserve"> olyan cikkek, amelyek teljes egészében beépülnek a gyártó termékébe. Két csoportjuk létezik: nyersanyagok, valamint megmunkált anyagok és alkatrészek. (Nyersanyagok: mezőgazdasági javak, természetből vett javak)</w:t>
      </w:r>
    </w:p>
    <w:p w14:paraId="35A0C371" w14:textId="77777777" w:rsidR="004D3317" w:rsidRPr="00E2748B" w:rsidRDefault="004D3317" w:rsidP="00EC10C5">
      <w:pPr>
        <w:pStyle w:val="Listaszerbekezds"/>
        <w:numPr>
          <w:ilvl w:val="0"/>
          <w:numId w:val="28"/>
        </w:numPr>
        <w:spacing w:after="60" w:line="240" w:lineRule="auto"/>
        <w:ind w:left="567" w:firstLine="709"/>
        <w:rPr>
          <w:rFonts w:cs="Times New Roman"/>
          <w:bCs/>
          <w:szCs w:val="24"/>
        </w:rPr>
      </w:pPr>
      <w:r w:rsidRPr="00E2748B">
        <w:rPr>
          <w:rFonts w:cs="Times New Roman"/>
          <w:bCs/>
          <w:szCs w:val="24"/>
        </w:rPr>
        <w:t>A beruházási eszközök a késztermék előállítását és kezelését lehetővé tevő tartós termékek. (berendezések, segédeszközök)</w:t>
      </w:r>
    </w:p>
    <w:p w14:paraId="7376A402" w14:textId="77777777" w:rsidR="004D3317" w:rsidRDefault="004D3317" w:rsidP="00EC10C5">
      <w:pPr>
        <w:pStyle w:val="Listaszerbekezds"/>
        <w:numPr>
          <w:ilvl w:val="0"/>
          <w:numId w:val="28"/>
        </w:numPr>
        <w:spacing w:after="60" w:line="240" w:lineRule="auto"/>
        <w:ind w:left="567" w:firstLine="709"/>
        <w:rPr>
          <w:rFonts w:cs="Times New Roman"/>
          <w:szCs w:val="24"/>
        </w:rPr>
      </w:pPr>
      <w:r w:rsidRPr="00E2748B">
        <w:rPr>
          <w:rFonts w:cs="Times New Roman"/>
          <w:bCs/>
          <w:szCs w:val="24"/>
        </w:rPr>
        <w:t>A segédanyagok</w:t>
      </w:r>
      <w:r w:rsidRPr="00CB0A5E">
        <w:rPr>
          <w:rFonts w:cs="Times New Roman"/>
          <w:b/>
          <w:szCs w:val="24"/>
        </w:rPr>
        <w:t xml:space="preserve"> és üzleti szolgáltatások</w:t>
      </w:r>
      <w:r w:rsidRPr="00CB0A5E">
        <w:rPr>
          <w:rFonts w:cs="Times New Roman"/>
          <w:szCs w:val="24"/>
        </w:rPr>
        <w:t xml:space="preserve"> olyan, rövid élettartamú áruk és szolgáltatások, amelyek megkönnyítik a késztermék előállítását és kezelését. (pl. karbantartási és javítóanyagok, gyártási segédanyagok, karbantartás és javítás, üzleti tanácsadás)</w:t>
      </w:r>
      <w:r w:rsidRPr="00CB0A5E">
        <w:rPr>
          <w:rFonts w:cs="Times New Roman"/>
          <w:color w:val="000000"/>
          <w:kern w:val="24"/>
          <w:szCs w:val="24"/>
          <w:lang w:eastAsia="hu-HU"/>
        </w:rPr>
        <w:t xml:space="preserve"> </w:t>
      </w:r>
      <w:r w:rsidRPr="00CB0A5E">
        <w:rPr>
          <w:rFonts w:cs="Times New Roman"/>
          <w:szCs w:val="24"/>
        </w:rPr>
        <w:t>Az alapanyagok és alkatrészek olyan cikkek, amelyek teljes egészében beépülnek a gyártó termékébe. Két csoportjuk létezik: nyersanyagok, valamint megmunkált anyagok és alkatrészek. (Nyersanyagok: mezőgazdasági javak, természetből vett javak)</w:t>
      </w:r>
    </w:p>
    <w:p w14:paraId="297ED864" w14:textId="77777777" w:rsidR="0001325B" w:rsidRDefault="0001325B" w:rsidP="00EC10C5">
      <w:pPr>
        <w:pStyle w:val="Listaszerbekezds"/>
        <w:spacing w:after="60" w:line="240" w:lineRule="auto"/>
        <w:ind w:left="1276"/>
        <w:rPr>
          <w:rFonts w:cs="Times New Roman"/>
          <w:szCs w:val="24"/>
        </w:rPr>
      </w:pPr>
    </w:p>
    <w:p w14:paraId="02402AF4" w14:textId="77777777" w:rsidR="0001325B" w:rsidRDefault="0001325B" w:rsidP="00EC10C5">
      <w:pPr>
        <w:pStyle w:val="Listaszerbekezds"/>
        <w:spacing w:after="60" w:line="240" w:lineRule="auto"/>
        <w:ind w:left="1276"/>
        <w:rPr>
          <w:rFonts w:cs="Times New Roman"/>
          <w:szCs w:val="24"/>
        </w:rPr>
      </w:pPr>
    </w:p>
    <w:p w14:paraId="72BC9613" w14:textId="77777777" w:rsidR="0001325B" w:rsidRDefault="0001325B" w:rsidP="00EC10C5">
      <w:pPr>
        <w:pStyle w:val="Listaszerbekezds"/>
        <w:spacing w:after="60" w:line="240" w:lineRule="auto"/>
        <w:ind w:left="1276"/>
        <w:rPr>
          <w:rFonts w:cs="Times New Roman"/>
          <w:szCs w:val="24"/>
        </w:rPr>
      </w:pPr>
    </w:p>
    <w:p w14:paraId="47D64307" w14:textId="77777777" w:rsidR="0001325B" w:rsidRDefault="0001325B" w:rsidP="00EC10C5">
      <w:pPr>
        <w:pStyle w:val="Listaszerbekezds"/>
        <w:spacing w:after="60" w:line="240" w:lineRule="auto"/>
        <w:ind w:left="1276"/>
        <w:rPr>
          <w:rFonts w:cs="Times New Roman"/>
          <w:szCs w:val="24"/>
        </w:rPr>
      </w:pPr>
    </w:p>
    <w:p w14:paraId="01D63226" w14:textId="77777777" w:rsidR="004D3317" w:rsidRPr="00CB0A5E" w:rsidRDefault="004D3317" w:rsidP="00EC10C5">
      <w:pPr>
        <w:pStyle w:val="Stlus1"/>
      </w:pPr>
      <w:bookmarkStart w:id="77" w:name="_Toc1568873"/>
      <w:bookmarkStart w:id="78" w:name="_Toc18420881"/>
      <w:bookmarkStart w:id="79" w:name="_Toc18440840"/>
      <w:r w:rsidRPr="00CB0A5E">
        <w:lastRenderedPageBreak/>
        <w:t>Termékpolitika</w:t>
      </w:r>
      <w:bookmarkEnd w:id="77"/>
      <w:bookmarkEnd w:id="78"/>
      <w:bookmarkEnd w:id="79"/>
    </w:p>
    <w:p w14:paraId="114E7DAD" w14:textId="77777777" w:rsidR="004D3317" w:rsidRPr="00CB0A5E" w:rsidRDefault="004D3317" w:rsidP="00EC10C5">
      <w:pPr>
        <w:spacing w:after="60" w:line="240" w:lineRule="auto"/>
        <w:ind w:firstLine="709"/>
        <w:jc w:val="both"/>
        <w:rPr>
          <w:rFonts w:ascii="Times New Roman" w:hAnsi="Times New Roman" w:cs="Times New Roman"/>
          <w:b/>
          <w:sz w:val="24"/>
          <w:szCs w:val="24"/>
        </w:rPr>
      </w:pPr>
      <w:r w:rsidRPr="00CB0A5E">
        <w:rPr>
          <w:rFonts w:ascii="Times New Roman" w:hAnsi="Times New Roman" w:cs="Times New Roman"/>
          <w:sz w:val="24"/>
          <w:szCs w:val="24"/>
        </w:rPr>
        <w:t xml:space="preserve">A termékkel kapcsolatosan három típusú döntést kell meghoznia a marketing vezetőknek: </w:t>
      </w:r>
      <w:r w:rsidRPr="00CB0A5E">
        <w:rPr>
          <w:rFonts w:ascii="Times New Roman" w:hAnsi="Times New Roman" w:cs="Times New Roman"/>
          <w:b/>
          <w:sz w:val="24"/>
          <w:szCs w:val="24"/>
        </w:rPr>
        <w:t xml:space="preserve">egyedi termékkel kapcsolatos döntések, termékcsaládra vonatkozó döntések és a termék mixre vonatkozó döntések. </w:t>
      </w:r>
    </w:p>
    <w:p w14:paraId="0B380D3A"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termékfejlesztés során az egyedi termékekkel kapcsolatos döntéseket tekintjük át a következőkben. A termék sikerességéhez meg kell határozni a kulcsfontosságú terméktulajdonságokat, a márkázásról, a csomagolás, a címkézésről és a logókról, a terméktámogatásról. </w:t>
      </w:r>
    </w:p>
    <w:p w14:paraId="0060171B" w14:textId="77777777" w:rsidR="004D3317" w:rsidRPr="00CB0A5E" w:rsidRDefault="004D3317" w:rsidP="00EC10C5">
      <w:pPr>
        <w:spacing w:after="60" w:line="240" w:lineRule="auto"/>
        <w:ind w:firstLine="709"/>
        <w:rPr>
          <w:rFonts w:ascii="Times New Roman" w:hAnsi="Times New Roman" w:cs="Times New Roman"/>
          <w:b/>
          <w:sz w:val="24"/>
          <w:szCs w:val="24"/>
        </w:rPr>
      </w:pPr>
      <w:bookmarkStart w:id="80" w:name="_Toc1568874"/>
      <w:bookmarkStart w:id="81" w:name="_Toc18420882"/>
      <w:r w:rsidRPr="00CB0A5E">
        <w:rPr>
          <w:rFonts w:ascii="Times New Roman" w:hAnsi="Times New Roman" w:cs="Times New Roman"/>
          <w:b/>
          <w:sz w:val="24"/>
          <w:szCs w:val="24"/>
        </w:rPr>
        <w:t>A termékcsaláddal kapcsolatos döntések</w:t>
      </w:r>
      <w:bookmarkEnd w:id="80"/>
      <w:bookmarkEnd w:id="81"/>
    </w:p>
    <w:p w14:paraId="016320A8"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A termékcsalád (</w:t>
      </w:r>
      <w:proofErr w:type="spellStart"/>
      <w:r w:rsidRPr="00CB0A5E">
        <w:rPr>
          <w:rFonts w:ascii="Times New Roman" w:hAnsi="Times New Roman" w:cs="Times New Roman"/>
          <w:b/>
          <w:bCs/>
          <w:sz w:val="24"/>
          <w:szCs w:val="24"/>
        </w:rPr>
        <w:t>product</w:t>
      </w:r>
      <w:proofErr w:type="spellEnd"/>
      <w:r w:rsidRPr="00CB0A5E">
        <w:rPr>
          <w:rFonts w:ascii="Times New Roman" w:hAnsi="Times New Roman" w:cs="Times New Roman"/>
          <w:b/>
          <w:bCs/>
          <w:sz w:val="24"/>
          <w:szCs w:val="24"/>
        </w:rPr>
        <w:t xml:space="preserve"> line) </w:t>
      </w:r>
      <w:r w:rsidRPr="00CB0A5E">
        <w:rPr>
          <w:rFonts w:ascii="Times New Roman" w:hAnsi="Times New Roman" w:cs="Times New Roman"/>
          <w:sz w:val="24"/>
          <w:szCs w:val="24"/>
        </w:rPr>
        <w:t xml:space="preserve">a vállalat azon termékeinek halmaza, amelyek valamilyen szempontok alapján (pl. azonos szegmens értékesítési csatorna, előállítás, árkategória) kapcsolódnak egymáshoz. </w:t>
      </w:r>
      <w:r w:rsidRPr="00CB0A5E">
        <w:rPr>
          <w:rFonts w:ascii="Times New Roman" w:hAnsi="Times New Roman" w:cs="Times New Roman"/>
          <w:b/>
          <w:bCs/>
          <w:sz w:val="24"/>
          <w:szCs w:val="24"/>
        </w:rPr>
        <w:t xml:space="preserve">A termékcsalád hossza </w:t>
      </w:r>
      <w:r w:rsidRPr="00CB0A5E">
        <w:rPr>
          <w:rFonts w:ascii="Times New Roman" w:hAnsi="Times New Roman" w:cs="Times New Roman"/>
          <w:sz w:val="24"/>
          <w:szCs w:val="24"/>
        </w:rPr>
        <w:t xml:space="preserve">a tételek (cikkek) száma a termékcsaládban. A vállalat kétféle módon bővítheti a termékcsaládot:  </w:t>
      </w:r>
    </w:p>
    <w:p w14:paraId="52E88933" w14:textId="77777777" w:rsidR="004D3317" w:rsidRPr="00E2748B" w:rsidRDefault="004D3317" w:rsidP="00EC10C5">
      <w:pPr>
        <w:pStyle w:val="Listaszerbekezds"/>
        <w:numPr>
          <w:ilvl w:val="0"/>
          <w:numId w:val="28"/>
        </w:numPr>
        <w:spacing w:after="60" w:line="240" w:lineRule="auto"/>
        <w:ind w:left="567" w:firstLine="709"/>
        <w:rPr>
          <w:rFonts w:cs="Times New Roman"/>
          <w:bCs/>
          <w:szCs w:val="24"/>
        </w:rPr>
      </w:pPr>
      <w:r w:rsidRPr="00E2748B">
        <w:rPr>
          <w:rFonts w:cs="Times New Roman"/>
          <w:bCs/>
          <w:szCs w:val="24"/>
        </w:rPr>
        <w:t xml:space="preserve">Termékcsalád feltöltés – a meglévő termékskáláját további tételekkel egészíti ki. </w:t>
      </w:r>
    </w:p>
    <w:p w14:paraId="3DE44C45" w14:textId="77777777" w:rsidR="004D3317" w:rsidRPr="00E2748B" w:rsidRDefault="004D3317" w:rsidP="00EC10C5">
      <w:pPr>
        <w:pStyle w:val="Listaszerbekezds"/>
        <w:numPr>
          <w:ilvl w:val="0"/>
          <w:numId w:val="28"/>
        </w:numPr>
        <w:spacing w:after="60" w:line="240" w:lineRule="auto"/>
        <w:ind w:left="567" w:firstLine="709"/>
        <w:rPr>
          <w:rFonts w:cs="Times New Roman"/>
          <w:bCs/>
          <w:szCs w:val="24"/>
        </w:rPr>
      </w:pPr>
      <w:r w:rsidRPr="00E2748B">
        <w:rPr>
          <w:rFonts w:cs="Times New Roman"/>
          <w:bCs/>
          <w:szCs w:val="24"/>
        </w:rPr>
        <w:t>A termékcsalád bővítése - a vállalat meglévő termékskáláján túl bővíti termékcsaládját, amely bővülhet lefelé, felfelé vagy mindkét irányba.</w:t>
      </w:r>
    </w:p>
    <w:p w14:paraId="7A4ED0F3" w14:textId="77777777" w:rsidR="004D3317" w:rsidRPr="00CB0A5E" w:rsidRDefault="004D3317" w:rsidP="00EC10C5">
      <w:pPr>
        <w:pStyle w:val="Listaszerbekezds"/>
        <w:numPr>
          <w:ilvl w:val="0"/>
          <w:numId w:val="28"/>
        </w:numPr>
        <w:spacing w:after="60" w:line="240" w:lineRule="auto"/>
        <w:ind w:left="567" w:firstLine="709"/>
        <w:rPr>
          <w:rFonts w:cs="Times New Roman"/>
          <w:szCs w:val="24"/>
        </w:rPr>
      </w:pPr>
      <w:r w:rsidRPr="00E2748B">
        <w:rPr>
          <w:rFonts w:cs="Times New Roman"/>
          <w:bCs/>
          <w:szCs w:val="24"/>
        </w:rPr>
        <w:t>Term</w:t>
      </w:r>
      <w:r w:rsidRPr="00CB0A5E">
        <w:rPr>
          <w:rFonts w:cs="Times New Roman"/>
          <w:szCs w:val="24"/>
        </w:rPr>
        <w:t>ékcsalád korszerűsítés, kiemelés, szűkítés</w:t>
      </w:r>
    </w:p>
    <w:p w14:paraId="3CB2EAF8"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termékmix (vagy termék portfólió) </w:t>
      </w:r>
      <w:r w:rsidRPr="00CB0A5E">
        <w:rPr>
          <w:rFonts w:ascii="Times New Roman" w:hAnsi="Times New Roman" w:cs="Times New Roman"/>
          <w:sz w:val="24"/>
          <w:szCs w:val="24"/>
        </w:rPr>
        <w:t xml:space="preserve">olyan termékcsaládok és cikkek összessége, amelyek egy meghatározott eladó kínálatában megtalálhatók. Jellemzői: </w:t>
      </w:r>
    </w:p>
    <w:p w14:paraId="36ED0D20" w14:textId="77777777" w:rsidR="004D3317" w:rsidRPr="00CB0A5E" w:rsidRDefault="004D3317" w:rsidP="00EC10C5">
      <w:pPr>
        <w:spacing w:after="60" w:line="240" w:lineRule="auto"/>
        <w:ind w:left="360" w:firstLine="709"/>
        <w:jc w:val="both"/>
        <w:rPr>
          <w:rFonts w:ascii="Times New Roman" w:hAnsi="Times New Roman" w:cs="Times New Roman"/>
          <w:sz w:val="24"/>
          <w:szCs w:val="24"/>
        </w:rPr>
      </w:pPr>
      <w:r w:rsidRPr="00CB0A5E">
        <w:rPr>
          <w:rFonts w:ascii="Times New Roman" w:hAnsi="Times New Roman" w:cs="Times New Roman"/>
          <w:i/>
          <w:iCs/>
          <w:sz w:val="24"/>
          <w:szCs w:val="24"/>
        </w:rPr>
        <w:t xml:space="preserve">Szélesség – </w:t>
      </w:r>
      <w:r w:rsidRPr="00CB0A5E">
        <w:rPr>
          <w:rFonts w:ascii="Times New Roman" w:hAnsi="Times New Roman" w:cs="Times New Roman"/>
          <w:sz w:val="24"/>
          <w:szCs w:val="24"/>
        </w:rPr>
        <w:t>a vállalat különböző termékcsaládjainak száma</w:t>
      </w:r>
    </w:p>
    <w:p w14:paraId="3F1D6715" w14:textId="77777777" w:rsidR="004D3317" w:rsidRPr="00CB0A5E" w:rsidRDefault="004D3317" w:rsidP="00EC10C5">
      <w:pPr>
        <w:spacing w:after="60" w:line="240" w:lineRule="auto"/>
        <w:ind w:left="360" w:firstLine="709"/>
        <w:jc w:val="both"/>
        <w:rPr>
          <w:rFonts w:ascii="Times New Roman" w:hAnsi="Times New Roman" w:cs="Times New Roman"/>
          <w:sz w:val="24"/>
          <w:szCs w:val="24"/>
        </w:rPr>
      </w:pPr>
      <w:r w:rsidRPr="00CB0A5E">
        <w:rPr>
          <w:rFonts w:ascii="Times New Roman" w:hAnsi="Times New Roman" w:cs="Times New Roman"/>
          <w:i/>
          <w:iCs/>
          <w:sz w:val="24"/>
          <w:szCs w:val="24"/>
        </w:rPr>
        <w:t xml:space="preserve">Hosszúság - </w:t>
      </w:r>
      <w:r w:rsidRPr="00CB0A5E">
        <w:rPr>
          <w:rFonts w:ascii="Times New Roman" w:hAnsi="Times New Roman" w:cs="Times New Roman"/>
          <w:sz w:val="24"/>
          <w:szCs w:val="24"/>
        </w:rPr>
        <w:t>hány cikk található a termékmixben (a cikkek összessége a termékcsaládokban)</w:t>
      </w:r>
    </w:p>
    <w:p w14:paraId="66085E07" w14:textId="77777777" w:rsidR="004D3317" w:rsidRPr="00CB0A5E" w:rsidRDefault="004D3317" w:rsidP="00EC10C5">
      <w:pPr>
        <w:spacing w:after="60" w:line="240" w:lineRule="auto"/>
        <w:ind w:left="360" w:firstLine="709"/>
        <w:jc w:val="both"/>
        <w:rPr>
          <w:rFonts w:ascii="Times New Roman" w:hAnsi="Times New Roman" w:cs="Times New Roman"/>
          <w:sz w:val="24"/>
          <w:szCs w:val="24"/>
        </w:rPr>
      </w:pPr>
      <w:r w:rsidRPr="00CB0A5E">
        <w:rPr>
          <w:rFonts w:ascii="Times New Roman" w:hAnsi="Times New Roman" w:cs="Times New Roman"/>
          <w:i/>
          <w:iCs/>
          <w:sz w:val="24"/>
          <w:szCs w:val="24"/>
        </w:rPr>
        <w:t xml:space="preserve">Mélység - </w:t>
      </w:r>
      <w:r w:rsidRPr="00CB0A5E">
        <w:rPr>
          <w:rFonts w:ascii="Times New Roman" w:hAnsi="Times New Roman" w:cs="Times New Roman"/>
          <w:sz w:val="24"/>
          <w:szCs w:val="24"/>
        </w:rPr>
        <w:t>a vállalat az egyes termékeknek hány különböző változatát tartja kínálatában</w:t>
      </w:r>
    </w:p>
    <w:p w14:paraId="6A0C24BB" w14:textId="77777777" w:rsidR="004D3317" w:rsidRDefault="004D3317" w:rsidP="00EC10C5">
      <w:pPr>
        <w:spacing w:after="60" w:line="240" w:lineRule="auto"/>
        <w:ind w:left="360" w:firstLine="709"/>
        <w:jc w:val="both"/>
        <w:rPr>
          <w:rFonts w:ascii="Times New Roman" w:hAnsi="Times New Roman" w:cs="Times New Roman"/>
          <w:sz w:val="24"/>
          <w:szCs w:val="24"/>
        </w:rPr>
      </w:pPr>
      <w:r w:rsidRPr="00CB0A5E">
        <w:rPr>
          <w:rFonts w:ascii="Times New Roman" w:hAnsi="Times New Roman" w:cs="Times New Roman"/>
          <w:i/>
          <w:iCs/>
          <w:sz w:val="24"/>
          <w:szCs w:val="24"/>
        </w:rPr>
        <w:t xml:space="preserve">Konzisztencia - </w:t>
      </w:r>
      <w:r w:rsidRPr="00CB0A5E">
        <w:rPr>
          <w:rFonts w:ascii="Times New Roman" w:hAnsi="Times New Roman" w:cs="Times New Roman"/>
          <w:sz w:val="24"/>
          <w:szCs w:val="24"/>
        </w:rPr>
        <w:t>a különböző termékcsaládok mennyire szorosan kötődnek egymáshoz a végső felhasználás, a gyártási feltételek, az értékesítési csatornák vagy más tényezők szempontjából</w:t>
      </w:r>
    </w:p>
    <w:p w14:paraId="6EEA133D" w14:textId="77777777" w:rsidR="0001325B" w:rsidRPr="00CB0A5E" w:rsidRDefault="0001325B" w:rsidP="00EC10C5">
      <w:pPr>
        <w:spacing w:after="60" w:line="240" w:lineRule="auto"/>
        <w:ind w:left="360" w:firstLine="709"/>
        <w:jc w:val="both"/>
        <w:rPr>
          <w:rFonts w:ascii="Times New Roman" w:hAnsi="Times New Roman" w:cs="Times New Roman"/>
          <w:sz w:val="24"/>
          <w:szCs w:val="24"/>
        </w:rPr>
      </w:pPr>
    </w:p>
    <w:p w14:paraId="24F10E49" w14:textId="77777777" w:rsidR="004D3317" w:rsidRPr="00CB0A5E" w:rsidRDefault="004D3317" w:rsidP="00EC10C5">
      <w:pPr>
        <w:pStyle w:val="Stlus1"/>
      </w:pPr>
      <w:bookmarkStart w:id="82" w:name="_Toc1568875"/>
      <w:bookmarkStart w:id="83" w:name="_Toc18420883"/>
      <w:bookmarkStart w:id="84" w:name="_Toc18440841"/>
      <w:r w:rsidRPr="00CB0A5E">
        <w:t>Termékéletgörbe</w:t>
      </w:r>
      <w:bookmarkEnd w:id="82"/>
      <w:bookmarkEnd w:id="83"/>
      <w:bookmarkEnd w:id="84"/>
    </w:p>
    <w:p w14:paraId="4EBDDB90" w14:textId="77777777" w:rsidR="004D3317"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vállalat termékei jellemezhetőek életciklusuk alapján, azaz az szerint, hogy az idő függvényében hogyan változik a termék értékesítése. (Bauer, Berács, Kenesei, 2014). A termék életgörbéje négy szakaszból áll: a bevezetés, a növekedés, az érettség és a hanyatlás. Minden életgörbe szakasz más jellemzőkkel bír, a vállalat más stratégiát követ az egyes életszakaszokban. </w:t>
      </w:r>
    </w:p>
    <w:p w14:paraId="649D035E" w14:textId="77777777" w:rsidR="0001325B" w:rsidRDefault="0001325B" w:rsidP="00EC10C5">
      <w:pPr>
        <w:spacing w:after="60" w:line="240" w:lineRule="auto"/>
        <w:ind w:firstLine="709"/>
        <w:jc w:val="both"/>
        <w:rPr>
          <w:rFonts w:ascii="Times New Roman" w:hAnsi="Times New Roman" w:cs="Times New Roman"/>
          <w:sz w:val="24"/>
          <w:szCs w:val="24"/>
        </w:rPr>
      </w:pPr>
    </w:p>
    <w:p w14:paraId="7697281A" w14:textId="77777777" w:rsidR="0001325B" w:rsidRDefault="0001325B" w:rsidP="00EC10C5">
      <w:pPr>
        <w:spacing w:after="60" w:line="240" w:lineRule="auto"/>
        <w:ind w:firstLine="709"/>
        <w:jc w:val="both"/>
        <w:rPr>
          <w:rFonts w:ascii="Times New Roman" w:hAnsi="Times New Roman" w:cs="Times New Roman"/>
          <w:sz w:val="24"/>
          <w:szCs w:val="24"/>
        </w:rPr>
      </w:pPr>
    </w:p>
    <w:p w14:paraId="1FEA706C" w14:textId="77777777" w:rsidR="0001325B" w:rsidRDefault="0001325B" w:rsidP="00EC10C5">
      <w:pPr>
        <w:spacing w:after="60" w:line="240" w:lineRule="auto"/>
        <w:ind w:firstLine="709"/>
        <w:jc w:val="both"/>
        <w:rPr>
          <w:rFonts w:ascii="Times New Roman" w:hAnsi="Times New Roman" w:cs="Times New Roman"/>
          <w:sz w:val="24"/>
          <w:szCs w:val="24"/>
        </w:rPr>
      </w:pPr>
    </w:p>
    <w:p w14:paraId="7FE7A630" w14:textId="77777777" w:rsidR="0001325B" w:rsidRDefault="0001325B" w:rsidP="00EC10C5">
      <w:pPr>
        <w:spacing w:after="60" w:line="240" w:lineRule="auto"/>
        <w:ind w:firstLine="709"/>
        <w:jc w:val="both"/>
        <w:rPr>
          <w:rFonts w:ascii="Times New Roman" w:hAnsi="Times New Roman" w:cs="Times New Roman"/>
          <w:sz w:val="24"/>
          <w:szCs w:val="24"/>
        </w:rPr>
      </w:pPr>
    </w:p>
    <w:p w14:paraId="74DF8029" w14:textId="77777777" w:rsidR="0001325B" w:rsidRDefault="0001325B" w:rsidP="00EC10C5">
      <w:pPr>
        <w:spacing w:after="60" w:line="240" w:lineRule="auto"/>
        <w:ind w:firstLine="709"/>
        <w:jc w:val="both"/>
        <w:rPr>
          <w:rFonts w:ascii="Times New Roman" w:hAnsi="Times New Roman" w:cs="Times New Roman"/>
          <w:sz w:val="24"/>
          <w:szCs w:val="24"/>
        </w:rPr>
      </w:pPr>
    </w:p>
    <w:p w14:paraId="3D44A77F" w14:textId="77777777" w:rsidR="0001325B" w:rsidRDefault="0001325B" w:rsidP="00EC10C5">
      <w:pPr>
        <w:spacing w:after="60" w:line="240" w:lineRule="auto"/>
        <w:ind w:firstLine="709"/>
        <w:jc w:val="both"/>
        <w:rPr>
          <w:rFonts w:ascii="Times New Roman" w:hAnsi="Times New Roman" w:cs="Times New Roman"/>
          <w:sz w:val="24"/>
          <w:szCs w:val="24"/>
        </w:rPr>
      </w:pPr>
    </w:p>
    <w:p w14:paraId="0DDA7DB2" w14:textId="77777777" w:rsidR="0001325B" w:rsidRDefault="0001325B" w:rsidP="00EC10C5">
      <w:pPr>
        <w:spacing w:after="60" w:line="240" w:lineRule="auto"/>
        <w:ind w:firstLine="709"/>
        <w:jc w:val="both"/>
        <w:rPr>
          <w:rFonts w:ascii="Times New Roman" w:hAnsi="Times New Roman" w:cs="Times New Roman"/>
          <w:sz w:val="24"/>
          <w:szCs w:val="24"/>
        </w:rPr>
      </w:pPr>
    </w:p>
    <w:p w14:paraId="1214BEE1" w14:textId="77777777" w:rsidR="0001325B" w:rsidRDefault="0001325B" w:rsidP="00EC10C5">
      <w:pPr>
        <w:spacing w:after="60" w:line="240" w:lineRule="auto"/>
        <w:ind w:firstLine="709"/>
        <w:jc w:val="both"/>
        <w:rPr>
          <w:rFonts w:ascii="Times New Roman" w:hAnsi="Times New Roman" w:cs="Times New Roman"/>
          <w:sz w:val="24"/>
          <w:szCs w:val="24"/>
        </w:rPr>
      </w:pPr>
    </w:p>
    <w:p w14:paraId="40EB6D78" w14:textId="77777777" w:rsidR="0001325B" w:rsidRDefault="0001325B" w:rsidP="00EC10C5">
      <w:pPr>
        <w:spacing w:after="60" w:line="240" w:lineRule="auto"/>
        <w:ind w:firstLine="709"/>
        <w:jc w:val="both"/>
        <w:rPr>
          <w:rFonts w:ascii="Times New Roman" w:hAnsi="Times New Roman" w:cs="Times New Roman"/>
          <w:sz w:val="24"/>
          <w:szCs w:val="24"/>
        </w:rPr>
      </w:pPr>
    </w:p>
    <w:p w14:paraId="22D3631F" w14:textId="77777777" w:rsidR="0001325B" w:rsidRDefault="0001325B" w:rsidP="00EC10C5">
      <w:pPr>
        <w:spacing w:after="60" w:line="240" w:lineRule="auto"/>
        <w:ind w:firstLine="709"/>
        <w:jc w:val="both"/>
        <w:rPr>
          <w:rFonts w:ascii="Times New Roman" w:hAnsi="Times New Roman" w:cs="Times New Roman"/>
          <w:sz w:val="24"/>
          <w:szCs w:val="24"/>
        </w:rPr>
      </w:pPr>
    </w:p>
    <w:p w14:paraId="228E5D87" w14:textId="77777777" w:rsidR="0001325B" w:rsidRDefault="0001325B" w:rsidP="00EC10C5">
      <w:pPr>
        <w:spacing w:after="60" w:line="240" w:lineRule="auto"/>
        <w:ind w:firstLine="709"/>
        <w:jc w:val="both"/>
        <w:rPr>
          <w:rFonts w:ascii="Times New Roman" w:hAnsi="Times New Roman" w:cs="Times New Roman"/>
          <w:sz w:val="24"/>
          <w:szCs w:val="24"/>
        </w:rPr>
      </w:pPr>
    </w:p>
    <w:p w14:paraId="4AA6BF89" w14:textId="77777777" w:rsidR="00062572"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r w:rsidRPr="0001325B">
        <w:rPr>
          <w:rFonts w:ascii="Times New Roman" w:hAnsi="Times New Roman" w:cs="Times New Roman"/>
          <w:b/>
          <w:i w:val="0"/>
          <w:color w:val="000000" w:themeColor="text1"/>
          <w:sz w:val="24"/>
          <w:szCs w:val="24"/>
        </w:rPr>
        <w:lastRenderedPageBreak/>
        <w:t xml:space="preserve">17. ábra </w:t>
      </w:r>
      <w:r w:rsidR="0001325B" w:rsidRPr="0001325B">
        <w:rPr>
          <w:rFonts w:ascii="Times New Roman" w:hAnsi="Times New Roman" w:cs="Times New Roman"/>
          <w:b/>
          <w:i w:val="0"/>
          <w:color w:val="000000" w:themeColor="text1"/>
          <w:sz w:val="24"/>
          <w:szCs w:val="24"/>
        </w:rPr>
        <w:t>Termékéletgörbe</w:t>
      </w:r>
    </w:p>
    <w:p w14:paraId="7A0ECD26"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7AC69828" wp14:editId="2FC833F6">
            <wp:extent cx="4257675" cy="2394473"/>
            <wp:effectExtent l="0" t="0" r="0" b="635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3516" cy="2397758"/>
                    </a:xfrm>
                    <a:prstGeom prst="rect">
                      <a:avLst/>
                    </a:prstGeom>
                  </pic:spPr>
                </pic:pic>
              </a:graphicData>
            </a:graphic>
          </wp:inline>
        </w:drawing>
      </w:r>
    </w:p>
    <w:p w14:paraId="24E1179A" w14:textId="77777777" w:rsidR="004D3317" w:rsidRPr="00CB0A5E" w:rsidRDefault="004D3317" w:rsidP="00EC10C5">
      <w:pPr>
        <w:spacing w:after="60" w:line="240" w:lineRule="auto"/>
        <w:ind w:firstLine="709"/>
        <w:jc w:val="both"/>
        <w:rPr>
          <w:rFonts w:ascii="Times New Roman" w:hAnsi="Times New Roman" w:cs="Times New Roman"/>
          <w:i/>
          <w:sz w:val="24"/>
          <w:szCs w:val="24"/>
        </w:rPr>
      </w:pPr>
      <w:r w:rsidRPr="00CB0A5E">
        <w:rPr>
          <w:rFonts w:ascii="Times New Roman" w:hAnsi="Times New Roman" w:cs="Times New Roman"/>
          <w:i/>
          <w:sz w:val="24"/>
          <w:szCs w:val="24"/>
        </w:rPr>
        <w:t xml:space="preserve">Forrás: </w:t>
      </w:r>
      <w:proofErr w:type="spellStart"/>
      <w:r w:rsidRPr="00CB0A5E">
        <w:rPr>
          <w:rFonts w:ascii="Times New Roman" w:hAnsi="Times New Roman" w:cs="Times New Roman"/>
          <w:i/>
          <w:sz w:val="24"/>
          <w:szCs w:val="24"/>
        </w:rPr>
        <w:t>Kotler</w:t>
      </w:r>
      <w:proofErr w:type="spellEnd"/>
      <w:r w:rsidRPr="00CB0A5E">
        <w:rPr>
          <w:rFonts w:ascii="Times New Roman" w:hAnsi="Times New Roman" w:cs="Times New Roman"/>
          <w:i/>
          <w:sz w:val="24"/>
          <w:szCs w:val="24"/>
        </w:rPr>
        <w:t>- Keller (2012)</w:t>
      </w:r>
    </w:p>
    <w:p w14:paraId="6A533EE4"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16A0A9C4" w14:textId="77777777" w:rsidR="004D3317" w:rsidRPr="00E2748B" w:rsidRDefault="004D3317" w:rsidP="00EC10C5">
      <w:pPr>
        <w:pStyle w:val="Listaszerbekezds"/>
        <w:numPr>
          <w:ilvl w:val="0"/>
          <w:numId w:val="28"/>
        </w:numPr>
        <w:spacing w:after="60" w:line="240" w:lineRule="auto"/>
        <w:ind w:left="567" w:firstLine="709"/>
        <w:rPr>
          <w:rFonts w:cs="Times New Roman"/>
          <w:bCs/>
          <w:szCs w:val="24"/>
        </w:rPr>
      </w:pPr>
      <w:r w:rsidRPr="00E2748B">
        <w:rPr>
          <w:rFonts w:cs="Times New Roman"/>
          <w:bCs/>
          <w:szCs w:val="24"/>
        </w:rPr>
        <w:t>Bevezetés. A termék piaci bevezetésének szakasza, amelyet a forgalom lassú növekedése jellemez. A tetemes termék bevezetési költségek miatt egyelőre nem hoz nyereséget.</w:t>
      </w:r>
      <w:r w:rsidR="005271EE" w:rsidRPr="00E2748B">
        <w:rPr>
          <w:rFonts w:cs="Times New Roman"/>
          <w:bCs/>
          <w:szCs w:val="24"/>
        </w:rPr>
        <w:t xml:space="preserve"> Nincs, vagy csak kevés versenytárs van a piacon. A termék alaptermék, nincs sok változat. A marketing feladata a termék ismertségének, kipróbálásának a növelése, az </w:t>
      </w:r>
      <w:proofErr w:type="spellStart"/>
      <w:r w:rsidR="005271EE" w:rsidRPr="00E2748B">
        <w:rPr>
          <w:rFonts w:cs="Times New Roman"/>
          <w:bCs/>
          <w:szCs w:val="24"/>
        </w:rPr>
        <w:t>innovátorok</w:t>
      </w:r>
      <w:proofErr w:type="spellEnd"/>
      <w:r w:rsidR="005271EE" w:rsidRPr="00E2748B">
        <w:rPr>
          <w:rFonts w:cs="Times New Roman"/>
          <w:bCs/>
          <w:szCs w:val="24"/>
        </w:rPr>
        <w:t xml:space="preserve"> körében elkötelezettség kiépítése. Az ár meglehetősen magas is lehet a magas költségek és a versenytársak hiánya miatt, az árazás lehet a haszonkulcs elvű árazás. A termék értékesítése szelektív, csak bizonyos csatornákon elérhető. </w:t>
      </w:r>
    </w:p>
    <w:p w14:paraId="2C9D7E20" w14:textId="77777777" w:rsidR="004D3317" w:rsidRPr="00E2748B" w:rsidRDefault="004D3317" w:rsidP="00EC10C5">
      <w:pPr>
        <w:pStyle w:val="Listaszerbekezds"/>
        <w:numPr>
          <w:ilvl w:val="0"/>
          <w:numId w:val="28"/>
        </w:numPr>
        <w:spacing w:after="60" w:line="240" w:lineRule="auto"/>
        <w:ind w:left="567" w:firstLine="709"/>
        <w:rPr>
          <w:rFonts w:cs="Times New Roman"/>
          <w:bCs/>
          <w:szCs w:val="24"/>
        </w:rPr>
      </w:pPr>
      <w:r w:rsidRPr="00E2748B">
        <w:rPr>
          <w:rFonts w:cs="Times New Roman"/>
          <w:bCs/>
          <w:szCs w:val="24"/>
        </w:rPr>
        <w:t xml:space="preserve"> Növekedés. A gyors piaci elfogadás jelentős profitnövekedéshez vezethet.</w:t>
      </w:r>
      <w:r w:rsidR="005271EE" w:rsidRPr="00E2748B">
        <w:rPr>
          <w:rFonts w:cs="Times New Roman"/>
          <w:bCs/>
          <w:szCs w:val="24"/>
        </w:rPr>
        <w:t xml:space="preserve"> Az eladás emelkedésével a</w:t>
      </w:r>
      <w:r w:rsidR="00032A49" w:rsidRPr="00E2748B">
        <w:rPr>
          <w:rFonts w:cs="Times New Roman"/>
          <w:bCs/>
          <w:szCs w:val="24"/>
        </w:rPr>
        <w:t xml:space="preserve">z eladások és a piaci részesedés növelése a fő cél. A termék már több változatban jelenik meg (differenciálás), a marketingkommunikáció fókuszában a funkcionális vagy pszichológiai előnyök kiemelése áll. Az ismertség növelése és a kipróbálás motiválása továbbra is kulcsfontosságú. Mivel a költségek csökkennek, és új versenytársak jelennek meg a piacon, az árak is csökkenni kezdenek. </w:t>
      </w:r>
    </w:p>
    <w:p w14:paraId="30FC54C3" w14:textId="77777777" w:rsidR="004D3317" w:rsidRPr="00CB0A5E" w:rsidRDefault="004D3317" w:rsidP="00EC10C5">
      <w:pPr>
        <w:pStyle w:val="Listaszerbekezds"/>
        <w:numPr>
          <w:ilvl w:val="0"/>
          <w:numId w:val="28"/>
        </w:numPr>
        <w:spacing w:after="60" w:line="240" w:lineRule="auto"/>
        <w:ind w:left="567" w:firstLine="709"/>
        <w:rPr>
          <w:rFonts w:cs="Times New Roman"/>
          <w:szCs w:val="24"/>
        </w:rPr>
      </w:pPr>
      <w:r w:rsidRPr="00E2748B">
        <w:rPr>
          <w:rFonts w:cs="Times New Roman"/>
          <w:bCs/>
          <w:szCs w:val="24"/>
        </w:rPr>
        <w:t xml:space="preserve"> Érettség. A forgalom növekedése lelassul, mert a potenciális vásárlók többsége már elfogadta</w:t>
      </w:r>
      <w:r w:rsidRPr="00CB0A5E">
        <w:rPr>
          <w:rFonts w:cs="Times New Roman"/>
          <w:szCs w:val="24"/>
        </w:rPr>
        <w:t xml:space="preserve"> a terméket. A profit stabilizálódik, vagy az élesedő verseny miatt csökken.</w:t>
      </w:r>
      <w:r w:rsidR="00032A49" w:rsidRPr="00CB0A5E">
        <w:rPr>
          <w:rFonts w:cs="Times New Roman"/>
          <w:szCs w:val="24"/>
        </w:rPr>
        <w:t xml:space="preserve"> A stratégia fókuszában a piaci részesedés megőrzése és a profitmaximalizálás áll. A piac stabilizálódása, és a versenytársak nagy száma miatt erős árverseny és magas </w:t>
      </w:r>
      <w:proofErr w:type="gramStart"/>
      <w:r w:rsidR="00032A49" w:rsidRPr="00CB0A5E">
        <w:rPr>
          <w:rFonts w:cs="Times New Roman"/>
          <w:szCs w:val="24"/>
        </w:rPr>
        <w:t>promóciós  költségek</w:t>
      </w:r>
      <w:proofErr w:type="gramEnd"/>
      <w:r w:rsidR="00032A49" w:rsidRPr="00CB0A5E">
        <w:rPr>
          <w:rFonts w:cs="Times New Roman"/>
          <w:szCs w:val="24"/>
        </w:rPr>
        <w:t xml:space="preserve"> jellemzik ezt a szakaszt. Az innovatív megoldások kerülnek előtérbe a termékfejlesztésben és a promócióban. </w:t>
      </w:r>
    </w:p>
    <w:p w14:paraId="5B4C8D16" w14:textId="77777777" w:rsidR="004D3317" w:rsidRDefault="004D3317" w:rsidP="00EC10C5">
      <w:pPr>
        <w:pStyle w:val="Listaszerbekezds"/>
        <w:numPr>
          <w:ilvl w:val="0"/>
          <w:numId w:val="28"/>
        </w:numPr>
        <w:spacing w:after="60" w:line="240" w:lineRule="auto"/>
        <w:ind w:left="567" w:firstLine="709"/>
        <w:rPr>
          <w:rFonts w:cs="Times New Roman"/>
          <w:szCs w:val="24"/>
        </w:rPr>
      </w:pPr>
      <w:r w:rsidRPr="00CB0A5E">
        <w:rPr>
          <w:rFonts w:cs="Times New Roman"/>
          <w:b/>
          <w:bCs/>
          <w:szCs w:val="24"/>
        </w:rPr>
        <w:t xml:space="preserve"> Hanyatlás. </w:t>
      </w:r>
      <w:r w:rsidRPr="00CB0A5E">
        <w:rPr>
          <w:rFonts w:cs="Times New Roman"/>
          <w:szCs w:val="24"/>
        </w:rPr>
        <w:t>A forgalom csökken, a profit fokozatosan visszaesik.</w:t>
      </w:r>
      <w:r w:rsidR="000B1076" w:rsidRPr="00CB0A5E">
        <w:rPr>
          <w:rFonts w:cs="Times New Roman"/>
          <w:szCs w:val="24"/>
        </w:rPr>
        <w:t xml:space="preserve"> A vállalat dönthet úgy, hogy eladja vagy kivonja a forgalomból a terméket, hogy a vállalat más, sikeresebb termékeire fókuszáljon. A másik lehetőség, hogy csak egy szűk termékválasztékot tart fent a lojális fogyasztók megtartása céljából. A termékfejlesztés és gondozás megszűnik (pl. szoftverek esetében a frissítések, új verziók kibocsátása). Az értékesítési csatornák száma jelentősen visszaesik. </w:t>
      </w:r>
    </w:p>
    <w:p w14:paraId="22CD7370" w14:textId="77777777" w:rsidR="0001325B" w:rsidRDefault="0001325B" w:rsidP="00EC10C5">
      <w:pPr>
        <w:spacing w:after="60" w:line="240" w:lineRule="auto"/>
        <w:rPr>
          <w:rFonts w:cs="Times New Roman"/>
          <w:szCs w:val="24"/>
        </w:rPr>
      </w:pPr>
    </w:p>
    <w:p w14:paraId="3ED25F7D" w14:textId="77777777" w:rsidR="0001325B" w:rsidRDefault="0001325B" w:rsidP="00EC10C5">
      <w:pPr>
        <w:spacing w:after="60" w:line="240" w:lineRule="auto"/>
        <w:rPr>
          <w:rFonts w:cs="Times New Roman"/>
          <w:szCs w:val="24"/>
        </w:rPr>
      </w:pPr>
    </w:p>
    <w:p w14:paraId="27A6030C" w14:textId="77777777" w:rsidR="0001325B" w:rsidRDefault="0001325B" w:rsidP="00EC10C5">
      <w:pPr>
        <w:spacing w:after="60" w:line="240" w:lineRule="auto"/>
        <w:rPr>
          <w:rFonts w:cs="Times New Roman"/>
          <w:szCs w:val="24"/>
        </w:rPr>
      </w:pPr>
    </w:p>
    <w:p w14:paraId="26CFA586" w14:textId="77777777" w:rsidR="0001325B" w:rsidRDefault="0001325B" w:rsidP="00EC10C5">
      <w:pPr>
        <w:spacing w:after="60" w:line="240" w:lineRule="auto"/>
        <w:rPr>
          <w:rFonts w:cs="Times New Roman"/>
          <w:szCs w:val="24"/>
        </w:rPr>
      </w:pPr>
    </w:p>
    <w:p w14:paraId="070DC812" w14:textId="77777777" w:rsidR="0001325B" w:rsidRPr="0001325B" w:rsidRDefault="0001325B" w:rsidP="00EC10C5">
      <w:pPr>
        <w:spacing w:after="60" w:line="240" w:lineRule="auto"/>
        <w:rPr>
          <w:rFonts w:cs="Times New Roman"/>
          <w:szCs w:val="24"/>
        </w:rPr>
      </w:pPr>
    </w:p>
    <w:p w14:paraId="36C10B78"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26E1C586" w14:textId="77777777" w:rsidR="004D3317" w:rsidRPr="0001325B" w:rsidRDefault="00062572" w:rsidP="00EC10C5">
      <w:pPr>
        <w:pStyle w:val="Kpalrs"/>
        <w:spacing w:after="60"/>
        <w:ind w:firstLine="709"/>
        <w:jc w:val="center"/>
        <w:rPr>
          <w:rFonts w:ascii="Times New Roman" w:hAnsi="Times New Roman" w:cs="Times New Roman"/>
          <w:b/>
          <w:i w:val="0"/>
          <w:color w:val="000000" w:themeColor="text1"/>
          <w:sz w:val="24"/>
          <w:szCs w:val="24"/>
        </w:rPr>
      </w:pPr>
      <w:r w:rsidRPr="0001325B">
        <w:rPr>
          <w:rFonts w:ascii="Times New Roman" w:hAnsi="Times New Roman" w:cs="Times New Roman"/>
          <w:b/>
          <w:i w:val="0"/>
          <w:color w:val="000000" w:themeColor="text1"/>
          <w:sz w:val="24"/>
          <w:szCs w:val="24"/>
        </w:rPr>
        <w:lastRenderedPageBreak/>
        <w:t>2</w:t>
      </w:r>
      <w:r w:rsidR="004D3317" w:rsidRPr="0001325B">
        <w:rPr>
          <w:rFonts w:ascii="Times New Roman" w:hAnsi="Times New Roman" w:cs="Times New Roman"/>
          <w:b/>
          <w:i w:val="0"/>
          <w:color w:val="000000" w:themeColor="text1"/>
          <w:sz w:val="24"/>
          <w:szCs w:val="24"/>
        </w:rPr>
        <w:t>. táblázat A termékéletgörbe szakaszainak jellemzése</w:t>
      </w:r>
    </w:p>
    <w:tbl>
      <w:tblPr>
        <w:tblStyle w:val="Tblzatrcsos5stt1jellszn"/>
        <w:tblW w:w="0" w:type="auto"/>
        <w:tblLook w:val="04A0" w:firstRow="1" w:lastRow="0" w:firstColumn="1" w:lastColumn="0" w:noHBand="0" w:noVBand="1"/>
      </w:tblPr>
      <w:tblGrid>
        <w:gridCol w:w="1711"/>
        <w:gridCol w:w="1880"/>
        <w:gridCol w:w="1717"/>
        <w:gridCol w:w="2136"/>
        <w:gridCol w:w="1616"/>
      </w:tblGrid>
      <w:tr w:rsidR="004D3317" w:rsidRPr="00CB0A5E" w14:paraId="1904985A" w14:textId="77777777" w:rsidTr="00A82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3E6371BB" w14:textId="77777777" w:rsidR="004D3317" w:rsidRPr="00CB0A5E" w:rsidRDefault="004D3317" w:rsidP="00EC10C5">
            <w:pPr>
              <w:spacing w:after="60"/>
              <w:ind w:firstLine="709"/>
              <w:rPr>
                <w:rFonts w:ascii="Times New Roman" w:hAnsi="Times New Roman" w:cs="Times New Roman"/>
                <w:sz w:val="24"/>
                <w:szCs w:val="24"/>
              </w:rPr>
            </w:pPr>
          </w:p>
        </w:tc>
        <w:tc>
          <w:tcPr>
            <w:tcW w:w="1989" w:type="dxa"/>
          </w:tcPr>
          <w:p w14:paraId="080EFACA" w14:textId="77777777" w:rsidR="004D3317" w:rsidRPr="00CB0A5E" w:rsidRDefault="004D3317" w:rsidP="00EC10C5">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B0A5E">
              <w:rPr>
                <w:rFonts w:ascii="Times New Roman" w:hAnsi="Times New Roman" w:cs="Times New Roman"/>
                <w:b w:val="0"/>
                <w:sz w:val="24"/>
                <w:szCs w:val="24"/>
              </w:rPr>
              <w:t>Bevezetés</w:t>
            </w:r>
          </w:p>
        </w:tc>
        <w:tc>
          <w:tcPr>
            <w:tcW w:w="1752" w:type="dxa"/>
          </w:tcPr>
          <w:p w14:paraId="41B7C16B" w14:textId="77777777" w:rsidR="004D3317" w:rsidRPr="00CB0A5E" w:rsidRDefault="004D3317" w:rsidP="00EC10C5">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B0A5E">
              <w:rPr>
                <w:rFonts w:ascii="Times New Roman" w:hAnsi="Times New Roman" w:cs="Times New Roman"/>
                <w:b w:val="0"/>
                <w:sz w:val="24"/>
                <w:szCs w:val="24"/>
              </w:rPr>
              <w:t>Növekedés</w:t>
            </w:r>
          </w:p>
        </w:tc>
        <w:tc>
          <w:tcPr>
            <w:tcW w:w="2040" w:type="dxa"/>
          </w:tcPr>
          <w:p w14:paraId="4183FBE4" w14:textId="77777777" w:rsidR="004D3317" w:rsidRPr="00CB0A5E" w:rsidRDefault="004D3317" w:rsidP="00EC10C5">
            <w:pPr>
              <w:spacing w:after="60"/>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B0A5E">
              <w:rPr>
                <w:rFonts w:ascii="Times New Roman" w:hAnsi="Times New Roman" w:cs="Times New Roman"/>
                <w:b w:val="0"/>
                <w:sz w:val="24"/>
                <w:szCs w:val="24"/>
              </w:rPr>
              <w:t>Érettség</w:t>
            </w:r>
          </w:p>
        </w:tc>
        <w:tc>
          <w:tcPr>
            <w:tcW w:w="1696" w:type="dxa"/>
          </w:tcPr>
          <w:p w14:paraId="7F632162" w14:textId="77777777" w:rsidR="004D3317" w:rsidRPr="00CB0A5E" w:rsidRDefault="004D3317" w:rsidP="00EC10C5">
            <w:pPr>
              <w:spacing w:after="60"/>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B0A5E">
              <w:rPr>
                <w:rFonts w:ascii="Times New Roman" w:hAnsi="Times New Roman" w:cs="Times New Roman"/>
                <w:b w:val="0"/>
                <w:sz w:val="24"/>
                <w:szCs w:val="24"/>
              </w:rPr>
              <w:t>Hanyatlás</w:t>
            </w:r>
          </w:p>
        </w:tc>
      </w:tr>
      <w:tr w:rsidR="004D3317" w:rsidRPr="00CB0A5E" w14:paraId="2860E403" w14:textId="77777777" w:rsidTr="00A8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60556FF6"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Eladás</w:t>
            </w:r>
          </w:p>
        </w:tc>
        <w:tc>
          <w:tcPr>
            <w:tcW w:w="1989" w:type="dxa"/>
          </w:tcPr>
          <w:p w14:paraId="48B52435"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alacsony</w:t>
            </w:r>
          </w:p>
        </w:tc>
        <w:tc>
          <w:tcPr>
            <w:tcW w:w="1752" w:type="dxa"/>
          </w:tcPr>
          <w:p w14:paraId="683AD80C"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gyorsan növekvő</w:t>
            </w:r>
          </w:p>
        </w:tc>
        <w:tc>
          <w:tcPr>
            <w:tcW w:w="2040" w:type="dxa"/>
          </w:tcPr>
          <w:p w14:paraId="347F398C"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az eladás tetőfoka</w:t>
            </w:r>
          </w:p>
        </w:tc>
        <w:tc>
          <w:tcPr>
            <w:tcW w:w="1696" w:type="dxa"/>
          </w:tcPr>
          <w:p w14:paraId="0FCF8D00"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csökkenő eladás</w:t>
            </w:r>
          </w:p>
        </w:tc>
      </w:tr>
      <w:tr w:rsidR="004D3317" w:rsidRPr="00CB0A5E" w14:paraId="1CA66EB5" w14:textId="77777777" w:rsidTr="00A829C3">
        <w:tc>
          <w:tcPr>
            <w:cnfStyle w:val="001000000000" w:firstRow="0" w:lastRow="0" w:firstColumn="1" w:lastColumn="0" w:oddVBand="0" w:evenVBand="0" w:oddHBand="0" w:evenHBand="0" w:firstRowFirstColumn="0" w:firstRowLastColumn="0" w:lastRowFirstColumn="0" w:lastRowLastColumn="0"/>
            <w:tcW w:w="1585" w:type="dxa"/>
          </w:tcPr>
          <w:p w14:paraId="2818049C"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Költségek</w:t>
            </w:r>
            <w:r w:rsidR="00E2748B">
              <w:rPr>
                <w:rFonts w:ascii="Times New Roman" w:hAnsi="Times New Roman" w:cs="Times New Roman"/>
                <w:sz w:val="24"/>
                <w:szCs w:val="24"/>
              </w:rPr>
              <w:t>/</w:t>
            </w:r>
            <w:r w:rsidRPr="00CB0A5E">
              <w:rPr>
                <w:rFonts w:ascii="Times New Roman" w:hAnsi="Times New Roman" w:cs="Times New Roman"/>
                <w:sz w:val="24"/>
                <w:szCs w:val="24"/>
              </w:rPr>
              <w:t xml:space="preserve"> vevő</w:t>
            </w:r>
          </w:p>
        </w:tc>
        <w:tc>
          <w:tcPr>
            <w:tcW w:w="1989" w:type="dxa"/>
          </w:tcPr>
          <w:p w14:paraId="3C758D05"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magas</w:t>
            </w:r>
          </w:p>
        </w:tc>
        <w:tc>
          <w:tcPr>
            <w:tcW w:w="1752" w:type="dxa"/>
          </w:tcPr>
          <w:p w14:paraId="04AFC313"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átlagos</w:t>
            </w:r>
          </w:p>
        </w:tc>
        <w:tc>
          <w:tcPr>
            <w:tcW w:w="2040" w:type="dxa"/>
          </w:tcPr>
          <w:p w14:paraId="65DB639A"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alacsony</w:t>
            </w:r>
          </w:p>
        </w:tc>
        <w:tc>
          <w:tcPr>
            <w:tcW w:w="1696" w:type="dxa"/>
          </w:tcPr>
          <w:p w14:paraId="2C88F186"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alacsony</w:t>
            </w:r>
          </w:p>
        </w:tc>
      </w:tr>
      <w:tr w:rsidR="004D3317" w:rsidRPr="00CB0A5E" w14:paraId="2DADCDD3" w14:textId="77777777" w:rsidTr="00A8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37F1E51B"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Nyereség</w:t>
            </w:r>
          </w:p>
        </w:tc>
        <w:tc>
          <w:tcPr>
            <w:tcW w:w="1989" w:type="dxa"/>
          </w:tcPr>
          <w:p w14:paraId="55EEFDFF" w14:textId="77777777" w:rsidR="004D3317" w:rsidRPr="00CB0A5E" w:rsidRDefault="004D3317" w:rsidP="00EC10C5">
            <w:pPr>
              <w:spacing w:after="6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negatív</w:t>
            </w:r>
          </w:p>
        </w:tc>
        <w:tc>
          <w:tcPr>
            <w:tcW w:w="1752" w:type="dxa"/>
          </w:tcPr>
          <w:p w14:paraId="4C92FA86"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növekvő profit</w:t>
            </w:r>
          </w:p>
        </w:tc>
        <w:tc>
          <w:tcPr>
            <w:tcW w:w="2040" w:type="dxa"/>
          </w:tcPr>
          <w:p w14:paraId="3DA1CD2F"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magas profit</w:t>
            </w:r>
          </w:p>
        </w:tc>
        <w:tc>
          <w:tcPr>
            <w:tcW w:w="1696" w:type="dxa"/>
          </w:tcPr>
          <w:p w14:paraId="03494A23"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csökkenő profit</w:t>
            </w:r>
          </w:p>
        </w:tc>
      </w:tr>
      <w:tr w:rsidR="004D3317" w:rsidRPr="00CB0A5E" w14:paraId="3FF45A63" w14:textId="77777777" w:rsidTr="00A829C3">
        <w:tc>
          <w:tcPr>
            <w:cnfStyle w:val="001000000000" w:firstRow="0" w:lastRow="0" w:firstColumn="1" w:lastColumn="0" w:oddVBand="0" w:evenVBand="0" w:oddHBand="0" w:evenHBand="0" w:firstRowFirstColumn="0" w:firstRowLastColumn="0" w:lastRowFirstColumn="0" w:lastRowLastColumn="0"/>
            <w:tcW w:w="1585" w:type="dxa"/>
          </w:tcPr>
          <w:p w14:paraId="7FBDD877"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Vevők</w:t>
            </w:r>
          </w:p>
        </w:tc>
        <w:tc>
          <w:tcPr>
            <w:tcW w:w="1989" w:type="dxa"/>
          </w:tcPr>
          <w:p w14:paraId="312642A5"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CB0A5E">
              <w:rPr>
                <w:rFonts w:ascii="Times New Roman" w:hAnsi="Times New Roman" w:cs="Times New Roman"/>
                <w:sz w:val="24"/>
                <w:szCs w:val="24"/>
              </w:rPr>
              <w:t>innovátorok</w:t>
            </w:r>
            <w:proofErr w:type="spellEnd"/>
          </w:p>
        </w:tc>
        <w:tc>
          <w:tcPr>
            <w:tcW w:w="1752" w:type="dxa"/>
          </w:tcPr>
          <w:p w14:paraId="23D77FB2"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korai adoptálók</w:t>
            </w:r>
          </w:p>
        </w:tc>
        <w:tc>
          <w:tcPr>
            <w:tcW w:w="2040" w:type="dxa"/>
          </w:tcPr>
          <w:p w14:paraId="1D4A9BA5"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korai és kései többség</w:t>
            </w:r>
          </w:p>
        </w:tc>
        <w:tc>
          <w:tcPr>
            <w:tcW w:w="1696" w:type="dxa"/>
          </w:tcPr>
          <w:p w14:paraId="5241C376"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lemaradók</w:t>
            </w:r>
          </w:p>
        </w:tc>
      </w:tr>
      <w:tr w:rsidR="004D3317" w:rsidRPr="00CB0A5E" w14:paraId="4ABB25F4" w14:textId="77777777" w:rsidTr="00A8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1C3C5D9C"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Versenytársak</w:t>
            </w:r>
          </w:p>
        </w:tc>
        <w:tc>
          <w:tcPr>
            <w:tcW w:w="1989" w:type="dxa"/>
          </w:tcPr>
          <w:p w14:paraId="52DFF4C0"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kevés</w:t>
            </w:r>
          </w:p>
        </w:tc>
        <w:tc>
          <w:tcPr>
            <w:tcW w:w="1752" w:type="dxa"/>
          </w:tcPr>
          <w:p w14:paraId="74BD43BC"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növekvő</w:t>
            </w:r>
          </w:p>
        </w:tc>
        <w:tc>
          <w:tcPr>
            <w:tcW w:w="2040" w:type="dxa"/>
          </w:tcPr>
          <w:p w14:paraId="1BDC8945"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stabil számú</w:t>
            </w:r>
          </w:p>
        </w:tc>
        <w:tc>
          <w:tcPr>
            <w:tcW w:w="1696" w:type="dxa"/>
          </w:tcPr>
          <w:p w14:paraId="768AED36"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csökkenő</w:t>
            </w:r>
          </w:p>
        </w:tc>
      </w:tr>
      <w:tr w:rsidR="004D3317" w:rsidRPr="00CB0A5E" w14:paraId="1EEB1C3F" w14:textId="77777777" w:rsidTr="00A829C3">
        <w:tc>
          <w:tcPr>
            <w:cnfStyle w:val="001000000000" w:firstRow="0" w:lastRow="0" w:firstColumn="1" w:lastColumn="0" w:oddVBand="0" w:evenVBand="0" w:oddHBand="0" w:evenHBand="0" w:firstRowFirstColumn="0" w:firstRowLastColumn="0" w:lastRowFirstColumn="0" w:lastRowLastColumn="0"/>
            <w:tcW w:w="1585" w:type="dxa"/>
          </w:tcPr>
          <w:p w14:paraId="08ABECDE" w14:textId="77777777" w:rsidR="004D3317" w:rsidRPr="00CB0A5E" w:rsidRDefault="00062572" w:rsidP="00EC10C5">
            <w:pPr>
              <w:spacing w:after="60"/>
              <w:rPr>
                <w:rFonts w:ascii="Times New Roman" w:hAnsi="Times New Roman" w:cs="Times New Roman"/>
                <w:sz w:val="24"/>
                <w:szCs w:val="24"/>
              </w:rPr>
            </w:pPr>
            <w:r>
              <w:rPr>
                <w:rFonts w:ascii="Times New Roman" w:hAnsi="Times New Roman" w:cs="Times New Roman"/>
                <w:sz w:val="24"/>
                <w:szCs w:val="24"/>
              </w:rPr>
              <w:t xml:space="preserve">Marketing </w:t>
            </w:r>
            <w:r w:rsidR="004D3317" w:rsidRPr="00CB0A5E">
              <w:rPr>
                <w:rFonts w:ascii="Times New Roman" w:hAnsi="Times New Roman" w:cs="Times New Roman"/>
                <w:sz w:val="24"/>
                <w:szCs w:val="24"/>
              </w:rPr>
              <w:t>célok</w:t>
            </w:r>
          </w:p>
        </w:tc>
        <w:tc>
          <w:tcPr>
            <w:tcW w:w="1989" w:type="dxa"/>
          </w:tcPr>
          <w:p w14:paraId="46AAB15A"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termék iránti elkötelezettség kiépítése, termék kipróbálása</w:t>
            </w:r>
          </w:p>
        </w:tc>
        <w:tc>
          <w:tcPr>
            <w:tcW w:w="1752" w:type="dxa"/>
          </w:tcPr>
          <w:p w14:paraId="1D62A616" w14:textId="77777777" w:rsidR="004D3317" w:rsidRPr="00CB0A5E" w:rsidRDefault="002317A2"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sidR="004D3317" w:rsidRPr="00CB0A5E">
              <w:rPr>
                <w:rFonts w:ascii="Times New Roman" w:hAnsi="Times New Roman" w:cs="Times New Roman"/>
                <w:sz w:val="24"/>
                <w:szCs w:val="24"/>
              </w:rPr>
              <w:t>iaci részesedés növelése</w:t>
            </w:r>
          </w:p>
        </w:tc>
        <w:tc>
          <w:tcPr>
            <w:tcW w:w="2040" w:type="dxa"/>
          </w:tcPr>
          <w:p w14:paraId="6C8A4C0B"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profitmaximalizálás a piaci részesedés megőrzése mellett</w:t>
            </w:r>
          </w:p>
        </w:tc>
        <w:tc>
          <w:tcPr>
            <w:tcW w:w="1696" w:type="dxa"/>
          </w:tcPr>
          <w:p w14:paraId="109428BA"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csökkenteni a kiadásokat</w:t>
            </w:r>
          </w:p>
        </w:tc>
      </w:tr>
      <w:tr w:rsidR="004D3317" w:rsidRPr="00CB0A5E" w14:paraId="054A6EE5" w14:textId="77777777" w:rsidTr="00A8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3CA76AF6"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Termék</w:t>
            </w:r>
          </w:p>
        </w:tc>
        <w:tc>
          <w:tcPr>
            <w:tcW w:w="1989" w:type="dxa"/>
          </w:tcPr>
          <w:p w14:paraId="7DBF438B"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alaptermék</w:t>
            </w:r>
          </w:p>
        </w:tc>
        <w:tc>
          <w:tcPr>
            <w:tcW w:w="1752" w:type="dxa"/>
          </w:tcPr>
          <w:p w14:paraId="2D8F2615"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 xml:space="preserve">több változat, szolgáltatás, garancia </w:t>
            </w:r>
          </w:p>
        </w:tc>
        <w:tc>
          <w:tcPr>
            <w:tcW w:w="2040" w:type="dxa"/>
          </w:tcPr>
          <w:p w14:paraId="67B4AD66"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márka és modell szám növelés</w:t>
            </w:r>
          </w:p>
        </w:tc>
        <w:tc>
          <w:tcPr>
            <w:tcW w:w="1696" w:type="dxa"/>
          </w:tcPr>
          <w:p w14:paraId="196CFD9F"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gyenge termékek kivezetése</w:t>
            </w:r>
          </w:p>
        </w:tc>
      </w:tr>
      <w:tr w:rsidR="004D3317" w:rsidRPr="00CB0A5E" w14:paraId="6F850B6B" w14:textId="77777777" w:rsidTr="00A829C3">
        <w:tc>
          <w:tcPr>
            <w:cnfStyle w:val="001000000000" w:firstRow="0" w:lastRow="0" w:firstColumn="1" w:lastColumn="0" w:oddVBand="0" w:evenVBand="0" w:oddHBand="0" w:evenHBand="0" w:firstRowFirstColumn="0" w:firstRowLastColumn="0" w:lastRowFirstColumn="0" w:lastRowLastColumn="0"/>
            <w:tcW w:w="1585" w:type="dxa"/>
          </w:tcPr>
          <w:p w14:paraId="138CE82A"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Ár</w:t>
            </w:r>
          </w:p>
        </w:tc>
        <w:tc>
          <w:tcPr>
            <w:tcW w:w="1989" w:type="dxa"/>
          </w:tcPr>
          <w:p w14:paraId="1FB343BD"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haszonkulcs elvű árazás</w:t>
            </w:r>
          </w:p>
        </w:tc>
        <w:tc>
          <w:tcPr>
            <w:tcW w:w="1752" w:type="dxa"/>
          </w:tcPr>
          <w:p w14:paraId="3B3A7124"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ár a piacrésze</w:t>
            </w:r>
            <w:r w:rsidR="002317A2">
              <w:rPr>
                <w:rFonts w:ascii="Times New Roman" w:hAnsi="Times New Roman" w:cs="Times New Roman"/>
                <w:sz w:val="24"/>
                <w:szCs w:val="24"/>
              </w:rPr>
              <w:t>-</w:t>
            </w:r>
            <w:proofErr w:type="spellStart"/>
            <w:r w:rsidRPr="00CB0A5E">
              <w:rPr>
                <w:rFonts w:ascii="Times New Roman" w:hAnsi="Times New Roman" w:cs="Times New Roman"/>
                <w:sz w:val="24"/>
                <w:szCs w:val="24"/>
              </w:rPr>
              <w:t>sedés</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növe</w:t>
            </w:r>
            <w:r w:rsidR="002317A2">
              <w:rPr>
                <w:rFonts w:ascii="Times New Roman" w:hAnsi="Times New Roman" w:cs="Times New Roman"/>
                <w:sz w:val="24"/>
                <w:szCs w:val="24"/>
              </w:rPr>
              <w:t>l</w:t>
            </w:r>
            <w:r w:rsidRPr="00CB0A5E">
              <w:rPr>
                <w:rFonts w:ascii="Times New Roman" w:hAnsi="Times New Roman" w:cs="Times New Roman"/>
                <w:sz w:val="24"/>
                <w:szCs w:val="24"/>
              </w:rPr>
              <w:t>é</w:t>
            </w:r>
            <w:r w:rsidR="002317A2">
              <w:rPr>
                <w:rFonts w:ascii="Times New Roman" w:hAnsi="Times New Roman" w:cs="Times New Roman"/>
                <w:sz w:val="24"/>
                <w:szCs w:val="24"/>
              </w:rPr>
              <w:t>-</w:t>
            </w:r>
            <w:r w:rsidRPr="00CB0A5E">
              <w:rPr>
                <w:rFonts w:ascii="Times New Roman" w:hAnsi="Times New Roman" w:cs="Times New Roman"/>
                <w:sz w:val="24"/>
                <w:szCs w:val="24"/>
              </w:rPr>
              <w:t>sére</w:t>
            </w:r>
            <w:proofErr w:type="spellEnd"/>
          </w:p>
        </w:tc>
        <w:tc>
          <w:tcPr>
            <w:tcW w:w="2040" w:type="dxa"/>
          </w:tcPr>
          <w:p w14:paraId="4C1356DB"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ár a verseny</w:t>
            </w:r>
            <w:r w:rsidR="002317A2">
              <w:rPr>
                <w:rFonts w:ascii="Times New Roman" w:hAnsi="Times New Roman" w:cs="Times New Roman"/>
                <w:sz w:val="24"/>
                <w:szCs w:val="24"/>
              </w:rPr>
              <w:t>-</w:t>
            </w:r>
            <w:r w:rsidRPr="00CB0A5E">
              <w:rPr>
                <w:rFonts w:ascii="Times New Roman" w:hAnsi="Times New Roman" w:cs="Times New Roman"/>
                <w:sz w:val="24"/>
                <w:szCs w:val="24"/>
              </w:rPr>
              <w:t>társakhoz igazítva</w:t>
            </w:r>
          </w:p>
        </w:tc>
        <w:tc>
          <w:tcPr>
            <w:tcW w:w="1696" w:type="dxa"/>
          </w:tcPr>
          <w:p w14:paraId="1CF7F52A"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árak csökkentése</w:t>
            </w:r>
          </w:p>
        </w:tc>
      </w:tr>
      <w:tr w:rsidR="004D3317" w:rsidRPr="00CB0A5E" w14:paraId="5A2B8870" w14:textId="77777777" w:rsidTr="00A82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5E140CCB"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Disztribúció</w:t>
            </w:r>
          </w:p>
        </w:tc>
        <w:tc>
          <w:tcPr>
            <w:tcW w:w="1989" w:type="dxa"/>
          </w:tcPr>
          <w:p w14:paraId="423BAA94"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szelektív elosztás</w:t>
            </w:r>
          </w:p>
        </w:tc>
        <w:tc>
          <w:tcPr>
            <w:tcW w:w="1752" w:type="dxa"/>
          </w:tcPr>
          <w:p w14:paraId="060BB9A6"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széleskörű elosztás</w:t>
            </w:r>
          </w:p>
        </w:tc>
        <w:tc>
          <w:tcPr>
            <w:tcW w:w="2040" w:type="dxa"/>
          </w:tcPr>
          <w:p w14:paraId="0ADDCC88"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még szélesebb elosztás</w:t>
            </w:r>
          </w:p>
        </w:tc>
        <w:tc>
          <w:tcPr>
            <w:tcW w:w="1696" w:type="dxa"/>
          </w:tcPr>
          <w:p w14:paraId="79FC2BDC" w14:textId="77777777" w:rsidR="004D3317" w:rsidRPr="00CB0A5E" w:rsidRDefault="004D3317" w:rsidP="00EC10C5">
            <w:pPr>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szelektív, kevéssé hatékonyak elhagyása</w:t>
            </w:r>
          </w:p>
        </w:tc>
      </w:tr>
      <w:tr w:rsidR="004D3317" w:rsidRPr="00CB0A5E" w14:paraId="7501EF00" w14:textId="77777777" w:rsidTr="00A829C3">
        <w:tc>
          <w:tcPr>
            <w:cnfStyle w:val="001000000000" w:firstRow="0" w:lastRow="0" w:firstColumn="1" w:lastColumn="0" w:oddVBand="0" w:evenVBand="0" w:oddHBand="0" w:evenHBand="0" w:firstRowFirstColumn="0" w:firstRowLastColumn="0" w:lastRowFirstColumn="0" w:lastRowLastColumn="0"/>
            <w:tcW w:w="1585" w:type="dxa"/>
          </w:tcPr>
          <w:p w14:paraId="531E11B8" w14:textId="77777777" w:rsidR="004D3317" w:rsidRPr="00CB0A5E" w:rsidRDefault="004D3317" w:rsidP="00EC10C5">
            <w:pPr>
              <w:spacing w:after="60"/>
              <w:rPr>
                <w:rFonts w:ascii="Times New Roman" w:hAnsi="Times New Roman" w:cs="Times New Roman"/>
                <w:sz w:val="24"/>
                <w:szCs w:val="24"/>
              </w:rPr>
            </w:pPr>
            <w:r w:rsidRPr="00CB0A5E">
              <w:rPr>
                <w:rFonts w:ascii="Times New Roman" w:hAnsi="Times New Roman" w:cs="Times New Roman"/>
                <w:sz w:val="24"/>
                <w:szCs w:val="24"/>
              </w:rPr>
              <w:t>Reklám</w:t>
            </w:r>
          </w:p>
        </w:tc>
        <w:tc>
          <w:tcPr>
            <w:tcW w:w="1989" w:type="dxa"/>
          </w:tcPr>
          <w:p w14:paraId="439AA24D"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 xml:space="preserve">ismertség </w:t>
            </w:r>
            <w:proofErr w:type="spellStart"/>
            <w:r w:rsidRPr="00CB0A5E">
              <w:rPr>
                <w:rFonts w:ascii="Times New Roman" w:hAnsi="Times New Roman" w:cs="Times New Roman"/>
                <w:sz w:val="24"/>
                <w:szCs w:val="24"/>
              </w:rPr>
              <w:t>növe</w:t>
            </w:r>
            <w:r w:rsidR="002317A2">
              <w:rPr>
                <w:rFonts w:ascii="Times New Roman" w:hAnsi="Times New Roman" w:cs="Times New Roman"/>
                <w:sz w:val="24"/>
                <w:szCs w:val="24"/>
              </w:rPr>
              <w:t>-</w:t>
            </w:r>
            <w:r w:rsidRPr="00CB0A5E">
              <w:rPr>
                <w:rFonts w:ascii="Times New Roman" w:hAnsi="Times New Roman" w:cs="Times New Roman"/>
                <w:sz w:val="24"/>
                <w:szCs w:val="24"/>
              </w:rPr>
              <w:t>lése</w:t>
            </w:r>
            <w:proofErr w:type="spellEnd"/>
            <w:r w:rsidRPr="00CB0A5E">
              <w:rPr>
                <w:rFonts w:ascii="Times New Roman" w:hAnsi="Times New Roman" w:cs="Times New Roman"/>
                <w:sz w:val="24"/>
                <w:szCs w:val="24"/>
              </w:rPr>
              <w:t xml:space="preserve"> a viszont</w:t>
            </w:r>
            <w:r w:rsidR="002317A2">
              <w:rPr>
                <w:rFonts w:ascii="Times New Roman" w:hAnsi="Times New Roman" w:cs="Times New Roman"/>
                <w:sz w:val="24"/>
                <w:szCs w:val="24"/>
              </w:rPr>
              <w:t>-</w:t>
            </w:r>
            <w:r w:rsidRPr="00CB0A5E">
              <w:rPr>
                <w:rFonts w:ascii="Times New Roman" w:hAnsi="Times New Roman" w:cs="Times New Roman"/>
                <w:sz w:val="24"/>
                <w:szCs w:val="24"/>
              </w:rPr>
              <w:t>eladók és a korai adoptálók között</w:t>
            </w:r>
          </w:p>
        </w:tc>
        <w:tc>
          <w:tcPr>
            <w:tcW w:w="1752" w:type="dxa"/>
          </w:tcPr>
          <w:p w14:paraId="1E513160"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érdeklődés és elkötelezettség növelése, tömegpiacon</w:t>
            </w:r>
          </w:p>
        </w:tc>
        <w:tc>
          <w:tcPr>
            <w:tcW w:w="2040" w:type="dxa"/>
          </w:tcPr>
          <w:p w14:paraId="2BDFFBB4"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márka megkülön</w:t>
            </w:r>
            <w:r w:rsidR="002317A2">
              <w:rPr>
                <w:rFonts w:ascii="Times New Roman" w:hAnsi="Times New Roman" w:cs="Times New Roman"/>
                <w:sz w:val="24"/>
                <w:szCs w:val="24"/>
              </w:rPr>
              <w:t>-</w:t>
            </w:r>
            <w:proofErr w:type="spellStart"/>
            <w:r w:rsidRPr="00CB0A5E">
              <w:rPr>
                <w:rFonts w:ascii="Times New Roman" w:hAnsi="Times New Roman" w:cs="Times New Roman"/>
                <w:sz w:val="24"/>
                <w:szCs w:val="24"/>
              </w:rPr>
              <w:t>böztető</w:t>
            </w:r>
            <w:proofErr w:type="spellEnd"/>
            <w:r w:rsidRPr="00CB0A5E">
              <w:rPr>
                <w:rFonts w:ascii="Times New Roman" w:hAnsi="Times New Roman" w:cs="Times New Roman"/>
                <w:sz w:val="24"/>
                <w:szCs w:val="24"/>
              </w:rPr>
              <w:t xml:space="preserve"> jegyek kommunikálása</w:t>
            </w:r>
          </w:p>
        </w:tc>
        <w:tc>
          <w:tcPr>
            <w:tcW w:w="1696" w:type="dxa"/>
          </w:tcPr>
          <w:p w14:paraId="4AC7FB56" w14:textId="77777777" w:rsidR="004D3317" w:rsidRPr="00CB0A5E" w:rsidRDefault="004D3317" w:rsidP="00EC10C5">
            <w:pPr>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0A5E">
              <w:rPr>
                <w:rFonts w:ascii="Times New Roman" w:hAnsi="Times New Roman" w:cs="Times New Roman"/>
                <w:sz w:val="24"/>
                <w:szCs w:val="24"/>
              </w:rPr>
              <w:t>csökkenteni, csak a lojális réteg megtartására</w:t>
            </w:r>
          </w:p>
        </w:tc>
      </w:tr>
    </w:tbl>
    <w:p w14:paraId="663ACE41" w14:textId="77777777" w:rsidR="004D3317" w:rsidRPr="00CB0A5E" w:rsidRDefault="004D3317"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79078C2B" w14:textId="77777777" w:rsidR="004D3317" w:rsidRPr="00CB0A5E" w:rsidRDefault="004D3317" w:rsidP="00EC10C5">
      <w:pPr>
        <w:spacing w:after="60" w:line="240" w:lineRule="auto"/>
        <w:ind w:firstLine="709"/>
        <w:jc w:val="both"/>
        <w:rPr>
          <w:rFonts w:ascii="Times New Roman" w:hAnsi="Times New Roman" w:cs="Times New Roman"/>
          <w:bCs/>
          <w:i/>
          <w:sz w:val="24"/>
          <w:szCs w:val="24"/>
        </w:rPr>
      </w:pPr>
    </w:p>
    <w:p w14:paraId="319957CA" w14:textId="77777777" w:rsidR="004D3317" w:rsidRPr="00062572" w:rsidRDefault="004D3317" w:rsidP="00EC10C5">
      <w:pPr>
        <w:pStyle w:val="Cmsor2"/>
        <w:numPr>
          <w:ilvl w:val="1"/>
          <w:numId w:val="8"/>
        </w:numPr>
        <w:spacing w:after="60" w:line="240" w:lineRule="auto"/>
        <w:ind w:left="0" w:firstLine="709"/>
        <w:rPr>
          <w:rFonts w:ascii="Times New Roman" w:hAnsi="Times New Roman" w:cs="Times New Roman"/>
          <w:b/>
          <w:sz w:val="24"/>
          <w:szCs w:val="24"/>
        </w:rPr>
      </w:pPr>
      <w:bookmarkStart w:id="85" w:name="_Toc18440842"/>
      <w:r w:rsidRPr="00062572">
        <w:rPr>
          <w:rFonts w:ascii="Times New Roman" w:hAnsi="Times New Roman" w:cs="Times New Roman"/>
          <w:b/>
          <w:sz w:val="24"/>
          <w:szCs w:val="24"/>
        </w:rPr>
        <w:t>Árpolitikai döntések</w:t>
      </w:r>
      <w:bookmarkEnd w:id="85"/>
    </w:p>
    <w:p w14:paraId="62C9B81F"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Ebben a fejezetben megvizsgáljuk, hogy a fogyasztók hogyan észlelik és értékelik az árakat, a vállalat milyen módszerekkel tudja meghatározni a termékei és szolgáltatásai bevezető árát. Kitérünk arra a kérdésre is, hogy a vállalat hogyan illesztheti a változó körülményekhez és lehetőségekhez az árait.</w:t>
      </w:r>
    </w:p>
    <w:p w14:paraId="6FA971FF"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Szűkebb értelemben az ár a termék vagy szolgáltatás díja. Tágabb értelemben az ár az összes olyan érték összege, amelyről a vevők lemondanak a termék vagy </w:t>
      </w:r>
      <w:proofErr w:type="gramStart"/>
      <w:r w:rsidRPr="00CB0A5E">
        <w:rPr>
          <w:rFonts w:ascii="Times New Roman" w:hAnsi="Times New Roman" w:cs="Times New Roman"/>
          <w:sz w:val="24"/>
          <w:szCs w:val="24"/>
        </w:rPr>
        <w:t>szolgáltatás tulajdonlásának</w:t>
      </w:r>
      <w:proofErr w:type="gramEnd"/>
      <w:r w:rsidRPr="00CB0A5E">
        <w:rPr>
          <w:rFonts w:ascii="Times New Roman" w:hAnsi="Times New Roman" w:cs="Times New Roman"/>
          <w:sz w:val="24"/>
          <w:szCs w:val="24"/>
        </w:rPr>
        <w:t xml:space="preserve"> vagy használatának előnyei miatt. A termék csereértéke annak árában fejeződik ki (Rekettye, Törőcsik, Hetesi, 2015). Az árak jelentőségét az adja, hogy ezeken keresztül realizálódik a vállalat árbevétele (és nyeresége), </w:t>
      </w:r>
      <w:proofErr w:type="gramStart"/>
      <w:r w:rsidRPr="00CB0A5E">
        <w:rPr>
          <w:rFonts w:ascii="Times New Roman" w:hAnsi="Times New Roman" w:cs="Times New Roman"/>
          <w:sz w:val="24"/>
          <w:szCs w:val="24"/>
        </w:rPr>
        <w:t>illetve</w:t>
      </w:r>
      <w:proofErr w:type="gramEnd"/>
      <w:r w:rsidRPr="00CB0A5E">
        <w:rPr>
          <w:rFonts w:ascii="Times New Roman" w:hAnsi="Times New Roman" w:cs="Times New Roman"/>
          <w:sz w:val="24"/>
          <w:szCs w:val="24"/>
        </w:rPr>
        <w:t xml:space="preserve"> hogy az árak és a termék iránt megnyilvánuló kereslet mértéke között szoros összefüggés figyelhető meg. (Rekettye, Törőcsik, Hetesi, 2015) Az ár a marketingmix egyetlen olyan eleme, amely bevételt termel, a többi elem ugyanis költségekkel jár.</w:t>
      </w:r>
    </w:p>
    <w:p w14:paraId="528743B0" w14:textId="1353B0D6"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w:t>
      </w:r>
      <w:r w:rsidRPr="00CB0A5E">
        <w:rPr>
          <w:rFonts w:ascii="Times New Roman" w:hAnsi="Times New Roman" w:cs="Times New Roman"/>
          <w:sz w:val="24"/>
          <w:szCs w:val="24"/>
        </w:rPr>
        <w:fldChar w:fldCharType="begin"/>
      </w:r>
      <w:r w:rsidRPr="00CB0A5E">
        <w:rPr>
          <w:rFonts w:ascii="Times New Roman" w:hAnsi="Times New Roman" w:cs="Times New Roman"/>
          <w:sz w:val="24"/>
          <w:szCs w:val="24"/>
        </w:rPr>
        <w:instrText xml:space="preserve"> REF _Ref990256 \h  \* MERGEFORMAT </w:instrText>
      </w:r>
      <w:r w:rsidRPr="00CB0A5E">
        <w:rPr>
          <w:rFonts w:ascii="Times New Roman" w:hAnsi="Times New Roman" w:cs="Times New Roman"/>
          <w:sz w:val="24"/>
          <w:szCs w:val="24"/>
        </w:rPr>
      </w:r>
      <w:r w:rsidRPr="00CB0A5E">
        <w:rPr>
          <w:rFonts w:ascii="Times New Roman" w:hAnsi="Times New Roman" w:cs="Times New Roman"/>
          <w:sz w:val="24"/>
          <w:szCs w:val="24"/>
        </w:rPr>
        <w:fldChar w:fldCharType="separate"/>
      </w:r>
      <w:r w:rsidR="006C213D" w:rsidRPr="006C213D">
        <w:rPr>
          <w:rFonts w:ascii="Times New Roman" w:hAnsi="Times New Roman" w:cs="Times New Roman"/>
          <w:noProof/>
          <w:sz w:val="24"/>
          <w:szCs w:val="24"/>
        </w:rPr>
        <w:t>18.</w:t>
      </w:r>
      <w:r w:rsidR="006C213D" w:rsidRPr="006C213D">
        <w:rPr>
          <w:rFonts w:ascii="Times New Roman" w:hAnsi="Times New Roman" w:cs="Times New Roman"/>
          <w:sz w:val="24"/>
          <w:szCs w:val="24"/>
        </w:rPr>
        <w:t xml:space="preserve"> </w:t>
      </w:r>
      <w:r w:rsidR="006C213D" w:rsidRPr="0001325B">
        <w:rPr>
          <w:rFonts w:ascii="Times New Roman" w:hAnsi="Times New Roman" w:cs="Times New Roman"/>
          <w:b/>
          <w:color w:val="000000" w:themeColor="text1"/>
          <w:sz w:val="24"/>
          <w:szCs w:val="24"/>
        </w:rPr>
        <w:t>ábra</w:t>
      </w:r>
      <w:r w:rsidRPr="00CB0A5E">
        <w:rPr>
          <w:rFonts w:ascii="Times New Roman" w:hAnsi="Times New Roman" w:cs="Times New Roman"/>
          <w:sz w:val="24"/>
          <w:szCs w:val="24"/>
        </w:rPr>
        <w:fldChar w:fldCharType="end"/>
      </w:r>
      <w:r w:rsidRPr="00CB0A5E">
        <w:rPr>
          <w:rFonts w:ascii="Times New Roman" w:hAnsi="Times New Roman" w:cs="Times New Roman"/>
          <w:sz w:val="24"/>
          <w:szCs w:val="24"/>
        </w:rPr>
        <w:t xml:space="preserve"> azt mutatja meg, hogy a vállalat vezetőit milyen megfontolások vezérelhetik az árak megállapításakor. A termékkel kapcsolatos költségek összessége határozza meg a </w:t>
      </w:r>
      <w:r w:rsidRPr="00CB0A5E">
        <w:rPr>
          <w:rFonts w:ascii="Times New Roman" w:hAnsi="Times New Roman" w:cs="Times New Roman"/>
          <w:sz w:val="24"/>
          <w:szCs w:val="24"/>
        </w:rPr>
        <w:lastRenderedPageBreak/>
        <w:t xml:space="preserve">lehetséges ár alsó korlátját, az ún. legalacsonyabb </w:t>
      </w:r>
      <w:r w:rsidRPr="00CB0A5E">
        <w:rPr>
          <w:rFonts w:ascii="Times New Roman" w:hAnsi="Times New Roman" w:cs="Times New Roman"/>
          <w:b/>
          <w:sz w:val="24"/>
          <w:szCs w:val="24"/>
        </w:rPr>
        <w:t>küszöbár</w:t>
      </w:r>
      <w:r w:rsidRPr="00CB0A5E">
        <w:rPr>
          <w:rFonts w:ascii="Times New Roman" w:hAnsi="Times New Roman" w:cs="Times New Roman"/>
          <w:sz w:val="24"/>
          <w:szCs w:val="24"/>
        </w:rPr>
        <w:t xml:space="preserve">at (rezervációs árat), azt az árat, ami alatt nem termel profitot a vállalat, és ami alatt a vállalat nem hajlandó piacra vinni a terméket. A vevők által észlelt érték maximuma felett a vállalat nem tudja értékesíteni a terméket, mert a vevő azt túl magasnak gondolja - ez az ár felső korlátja (felső rezervációs ár). </w:t>
      </w:r>
    </w:p>
    <w:p w14:paraId="2A3CA11D"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végső árat e két ár között határozza meg a vállalat a piaci környezete, a versenytársak stratégiája és árai alapján. </w:t>
      </w:r>
    </w:p>
    <w:p w14:paraId="72FD97C5"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05B4504A" w14:textId="77777777" w:rsidR="004D3317" w:rsidRPr="0001325B" w:rsidRDefault="002317A2" w:rsidP="00EC10C5">
      <w:pPr>
        <w:pStyle w:val="Kpalrs"/>
        <w:spacing w:after="60"/>
        <w:ind w:firstLine="709"/>
        <w:jc w:val="center"/>
        <w:rPr>
          <w:rFonts w:ascii="Times New Roman" w:hAnsi="Times New Roman" w:cs="Times New Roman"/>
          <w:b/>
          <w:i w:val="0"/>
          <w:color w:val="000000" w:themeColor="text1"/>
          <w:sz w:val="24"/>
          <w:szCs w:val="24"/>
        </w:rPr>
      </w:pPr>
      <w:bookmarkStart w:id="86" w:name="_Ref990256"/>
      <w:r w:rsidRPr="0001325B">
        <w:rPr>
          <w:rFonts w:ascii="Times New Roman" w:hAnsi="Times New Roman" w:cs="Times New Roman"/>
          <w:b/>
          <w:i w:val="0"/>
          <w:color w:val="000000" w:themeColor="text1"/>
          <w:sz w:val="24"/>
          <w:szCs w:val="24"/>
        </w:rPr>
        <w:t>18.</w:t>
      </w:r>
      <w:r w:rsidR="004D3317" w:rsidRPr="0001325B">
        <w:rPr>
          <w:rFonts w:ascii="Times New Roman" w:hAnsi="Times New Roman" w:cs="Times New Roman"/>
          <w:b/>
          <w:i w:val="0"/>
          <w:color w:val="000000" w:themeColor="text1"/>
          <w:sz w:val="24"/>
          <w:szCs w:val="24"/>
        </w:rPr>
        <w:t xml:space="preserve"> ábra</w:t>
      </w:r>
      <w:bookmarkEnd w:id="86"/>
      <w:r w:rsidR="004D3317" w:rsidRPr="0001325B">
        <w:rPr>
          <w:rFonts w:ascii="Times New Roman" w:hAnsi="Times New Roman" w:cs="Times New Roman"/>
          <w:b/>
          <w:i w:val="0"/>
          <w:color w:val="000000" w:themeColor="text1"/>
          <w:sz w:val="24"/>
          <w:szCs w:val="24"/>
        </w:rPr>
        <w:t xml:space="preserve"> Alapvető </w:t>
      </w:r>
      <w:proofErr w:type="spellStart"/>
      <w:r w:rsidR="004D3317" w:rsidRPr="0001325B">
        <w:rPr>
          <w:rFonts w:ascii="Times New Roman" w:hAnsi="Times New Roman" w:cs="Times New Roman"/>
          <w:b/>
          <w:i w:val="0"/>
          <w:color w:val="000000" w:themeColor="text1"/>
          <w:sz w:val="24"/>
          <w:szCs w:val="24"/>
        </w:rPr>
        <w:t>árképzési</w:t>
      </w:r>
      <w:proofErr w:type="spellEnd"/>
      <w:r w:rsidR="004D3317" w:rsidRPr="0001325B">
        <w:rPr>
          <w:rFonts w:ascii="Times New Roman" w:hAnsi="Times New Roman" w:cs="Times New Roman"/>
          <w:b/>
          <w:i w:val="0"/>
          <w:color w:val="000000" w:themeColor="text1"/>
          <w:sz w:val="24"/>
          <w:szCs w:val="24"/>
        </w:rPr>
        <w:t xml:space="preserve"> stratégiák: Költség alapú </w:t>
      </w:r>
      <w:proofErr w:type="spellStart"/>
      <w:r w:rsidR="004D3317" w:rsidRPr="0001325B">
        <w:rPr>
          <w:rFonts w:ascii="Times New Roman" w:hAnsi="Times New Roman" w:cs="Times New Roman"/>
          <w:b/>
          <w:i w:val="0"/>
          <w:color w:val="000000" w:themeColor="text1"/>
          <w:sz w:val="24"/>
          <w:szCs w:val="24"/>
        </w:rPr>
        <w:t>árképzés</w:t>
      </w:r>
      <w:proofErr w:type="spellEnd"/>
      <w:r w:rsidR="004D3317" w:rsidRPr="0001325B">
        <w:rPr>
          <w:rFonts w:ascii="Times New Roman" w:hAnsi="Times New Roman" w:cs="Times New Roman"/>
          <w:b/>
          <w:i w:val="0"/>
          <w:color w:val="000000" w:themeColor="text1"/>
          <w:sz w:val="24"/>
          <w:szCs w:val="24"/>
        </w:rPr>
        <w:t xml:space="preserve">, versenytárs alapú </w:t>
      </w:r>
      <w:proofErr w:type="spellStart"/>
      <w:r w:rsidR="004D3317" w:rsidRPr="0001325B">
        <w:rPr>
          <w:rFonts w:ascii="Times New Roman" w:hAnsi="Times New Roman" w:cs="Times New Roman"/>
          <w:b/>
          <w:i w:val="0"/>
          <w:color w:val="000000" w:themeColor="text1"/>
          <w:sz w:val="24"/>
          <w:szCs w:val="24"/>
        </w:rPr>
        <w:t>árképzés</w:t>
      </w:r>
      <w:proofErr w:type="spellEnd"/>
      <w:r w:rsidR="004D3317" w:rsidRPr="0001325B">
        <w:rPr>
          <w:rFonts w:ascii="Times New Roman" w:hAnsi="Times New Roman" w:cs="Times New Roman"/>
          <w:b/>
          <w:i w:val="0"/>
          <w:color w:val="000000" w:themeColor="text1"/>
          <w:sz w:val="24"/>
          <w:szCs w:val="24"/>
        </w:rPr>
        <w:t xml:space="preserve">, érték alapú </w:t>
      </w:r>
      <w:proofErr w:type="spellStart"/>
      <w:r w:rsidR="004D3317" w:rsidRPr="0001325B">
        <w:rPr>
          <w:rFonts w:ascii="Times New Roman" w:hAnsi="Times New Roman" w:cs="Times New Roman"/>
          <w:b/>
          <w:i w:val="0"/>
          <w:color w:val="000000" w:themeColor="text1"/>
          <w:sz w:val="24"/>
          <w:szCs w:val="24"/>
        </w:rPr>
        <w:t>árképzés</w:t>
      </w:r>
      <w:proofErr w:type="spellEnd"/>
    </w:p>
    <w:p w14:paraId="7178D3C3"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2E7E40E8" wp14:editId="3C8CC445">
            <wp:extent cx="5760000" cy="2440800"/>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2440800"/>
                    </a:xfrm>
                    <a:prstGeom prst="rect">
                      <a:avLst/>
                    </a:prstGeom>
                    <a:noFill/>
                  </pic:spPr>
                </pic:pic>
              </a:graphicData>
            </a:graphic>
          </wp:inline>
        </w:drawing>
      </w:r>
    </w:p>
    <w:p w14:paraId="4360D879" w14:textId="77777777" w:rsidR="004D3317" w:rsidRPr="00CB0A5E" w:rsidRDefault="004D3317" w:rsidP="00EC10C5">
      <w:pPr>
        <w:spacing w:after="60" w:line="240" w:lineRule="auto"/>
        <w:ind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Kotler-Amstrong</w:t>
      </w:r>
      <w:proofErr w:type="spellEnd"/>
      <w:r w:rsidRPr="00CB0A5E">
        <w:rPr>
          <w:rFonts w:ascii="Times New Roman" w:hAnsi="Times New Roman" w:cs="Times New Roman"/>
          <w:bCs/>
          <w:i/>
          <w:sz w:val="24"/>
          <w:szCs w:val="24"/>
        </w:rPr>
        <w:t xml:space="preserve"> (2017)</w:t>
      </w:r>
    </w:p>
    <w:p w14:paraId="755D84E0"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1FBF8D4C"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árak meghatározásánál négy témakört vizsgálunk meg: </w:t>
      </w:r>
    </w:p>
    <w:p w14:paraId="129C6345" w14:textId="77777777" w:rsidR="004D3317" w:rsidRPr="00CB0A5E" w:rsidRDefault="004D3317" w:rsidP="00EC10C5">
      <w:pPr>
        <w:pStyle w:val="Listaszerbekezds"/>
        <w:numPr>
          <w:ilvl w:val="0"/>
          <w:numId w:val="7"/>
        </w:numPr>
        <w:spacing w:after="60" w:line="240" w:lineRule="auto"/>
        <w:ind w:firstLine="709"/>
        <w:rPr>
          <w:rFonts w:cs="Times New Roman"/>
          <w:szCs w:val="24"/>
        </w:rPr>
      </w:pPr>
      <w:r w:rsidRPr="00CB0A5E">
        <w:rPr>
          <w:rFonts w:cs="Times New Roman"/>
          <w:szCs w:val="24"/>
        </w:rPr>
        <w:t xml:space="preserve"> az alapvető </w:t>
      </w:r>
      <w:proofErr w:type="spellStart"/>
      <w:r w:rsidRPr="00CB0A5E">
        <w:rPr>
          <w:rFonts w:cs="Times New Roman"/>
          <w:szCs w:val="24"/>
        </w:rPr>
        <w:t>árképzési</w:t>
      </w:r>
      <w:proofErr w:type="spellEnd"/>
      <w:r w:rsidRPr="00CB0A5E">
        <w:rPr>
          <w:rFonts w:cs="Times New Roman"/>
          <w:szCs w:val="24"/>
        </w:rPr>
        <w:t xml:space="preserve"> módszerek</w:t>
      </w:r>
    </w:p>
    <w:p w14:paraId="14990C8F" w14:textId="77777777" w:rsidR="004D3317" w:rsidRPr="00CB0A5E" w:rsidRDefault="004D3317" w:rsidP="00EC10C5">
      <w:pPr>
        <w:pStyle w:val="Listaszerbekezds"/>
        <w:numPr>
          <w:ilvl w:val="0"/>
          <w:numId w:val="7"/>
        </w:numPr>
        <w:spacing w:after="60" w:line="240" w:lineRule="auto"/>
        <w:ind w:firstLine="709"/>
        <w:rPr>
          <w:rFonts w:cs="Times New Roman"/>
          <w:szCs w:val="24"/>
        </w:rPr>
      </w:pPr>
      <w:r w:rsidRPr="00CB0A5E">
        <w:rPr>
          <w:rFonts w:cs="Times New Roman"/>
          <w:szCs w:val="24"/>
        </w:rPr>
        <w:t>azt, hogy új termék esetén milyen árazási stratégiákat követhetünk</w:t>
      </w:r>
    </w:p>
    <w:p w14:paraId="4E839028" w14:textId="77777777" w:rsidR="004D3317" w:rsidRPr="00CB0A5E" w:rsidRDefault="004D3317" w:rsidP="00EC10C5">
      <w:pPr>
        <w:pStyle w:val="Listaszerbekezds"/>
        <w:numPr>
          <w:ilvl w:val="0"/>
          <w:numId w:val="7"/>
        </w:numPr>
        <w:spacing w:after="60" w:line="240" w:lineRule="auto"/>
        <w:ind w:firstLine="709"/>
        <w:rPr>
          <w:rFonts w:cs="Times New Roman"/>
          <w:szCs w:val="24"/>
        </w:rPr>
      </w:pPr>
      <w:r w:rsidRPr="00CB0A5E">
        <w:rPr>
          <w:rFonts w:cs="Times New Roman"/>
          <w:szCs w:val="24"/>
        </w:rPr>
        <w:t>egy termékmix menedzselése során milyen árazási technikák alkalmazhatóak</w:t>
      </w:r>
    </w:p>
    <w:p w14:paraId="283E2FF1" w14:textId="77777777" w:rsidR="004D3317" w:rsidRPr="00CB0A5E" w:rsidRDefault="004D3317" w:rsidP="00EC10C5">
      <w:pPr>
        <w:pStyle w:val="Listaszerbekezds"/>
        <w:numPr>
          <w:ilvl w:val="0"/>
          <w:numId w:val="7"/>
        </w:numPr>
        <w:spacing w:after="60" w:line="240" w:lineRule="auto"/>
        <w:ind w:firstLine="709"/>
        <w:rPr>
          <w:rFonts w:cs="Times New Roman"/>
          <w:szCs w:val="24"/>
        </w:rPr>
      </w:pPr>
      <w:r w:rsidRPr="00CB0A5E">
        <w:rPr>
          <w:rFonts w:cs="Times New Roman"/>
          <w:szCs w:val="24"/>
        </w:rPr>
        <w:t xml:space="preserve">a termék életciklusa alatt milyen általános </w:t>
      </w:r>
      <w:proofErr w:type="spellStart"/>
      <w:r w:rsidRPr="00CB0A5E">
        <w:rPr>
          <w:rFonts w:cs="Times New Roman"/>
          <w:szCs w:val="24"/>
        </w:rPr>
        <w:t>áradaptációs</w:t>
      </w:r>
      <w:proofErr w:type="spellEnd"/>
      <w:r w:rsidRPr="00CB0A5E">
        <w:rPr>
          <w:rFonts w:cs="Times New Roman"/>
          <w:szCs w:val="24"/>
        </w:rPr>
        <w:t xml:space="preserve"> technikákkal alkalmazkodhatunk a piaci feltételekhez, vagy illeszthetünk a marketing stratégiához</w:t>
      </w:r>
    </w:p>
    <w:p w14:paraId="74C1E91E" w14:textId="77777777" w:rsidR="006F66B1" w:rsidRPr="00CB0A5E" w:rsidRDefault="006F66B1" w:rsidP="00EC10C5">
      <w:pPr>
        <w:pStyle w:val="Listaszerbekezds"/>
        <w:spacing w:after="60" w:line="240" w:lineRule="auto"/>
        <w:ind w:left="360" w:firstLine="709"/>
        <w:rPr>
          <w:rFonts w:cs="Times New Roman"/>
          <w:szCs w:val="24"/>
        </w:rPr>
      </w:pPr>
    </w:p>
    <w:p w14:paraId="4E19296C" w14:textId="77777777" w:rsidR="004D3317" w:rsidRPr="00CB0A5E" w:rsidRDefault="004D3317" w:rsidP="00EC10C5">
      <w:pPr>
        <w:pStyle w:val="Stlus1"/>
      </w:pPr>
      <w:bookmarkStart w:id="87" w:name="_Toc1568878"/>
      <w:bookmarkStart w:id="88" w:name="_Toc18420885"/>
      <w:bookmarkStart w:id="89" w:name="_Toc18440843"/>
      <w:r w:rsidRPr="00CB0A5E">
        <w:t xml:space="preserve">Alapvető </w:t>
      </w:r>
      <w:proofErr w:type="spellStart"/>
      <w:r w:rsidRPr="00CB0A5E">
        <w:t>árképzési</w:t>
      </w:r>
      <w:proofErr w:type="spellEnd"/>
      <w:r w:rsidRPr="00CB0A5E">
        <w:t xml:space="preserve"> módszerek</w:t>
      </w:r>
      <w:bookmarkEnd w:id="87"/>
      <w:bookmarkEnd w:id="88"/>
      <w:bookmarkEnd w:id="89"/>
    </w:p>
    <w:p w14:paraId="3656E216"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menedzserek tipikusan három féle árazási módszert használnak: </w:t>
      </w:r>
      <w:r w:rsidRPr="00CB0A5E">
        <w:rPr>
          <w:rFonts w:ascii="Times New Roman" w:hAnsi="Times New Roman" w:cs="Times New Roman"/>
          <w:b/>
          <w:sz w:val="24"/>
          <w:szCs w:val="24"/>
        </w:rPr>
        <w:t xml:space="preserve">költség alapú </w:t>
      </w:r>
      <w:proofErr w:type="spellStart"/>
      <w:r w:rsidRPr="00CB0A5E">
        <w:rPr>
          <w:rFonts w:ascii="Times New Roman" w:hAnsi="Times New Roman" w:cs="Times New Roman"/>
          <w:b/>
          <w:sz w:val="24"/>
          <w:szCs w:val="24"/>
        </w:rPr>
        <w:t>árképzést</w:t>
      </w:r>
      <w:proofErr w:type="spellEnd"/>
      <w:r w:rsidRPr="00CB0A5E">
        <w:rPr>
          <w:rFonts w:ascii="Times New Roman" w:hAnsi="Times New Roman" w:cs="Times New Roman"/>
          <w:b/>
          <w:sz w:val="24"/>
          <w:szCs w:val="24"/>
        </w:rPr>
        <w:t xml:space="preserve">, versenytárs alapú </w:t>
      </w:r>
      <w:proofErr w:type="spellStart"/>
      <w:r w:rsidRPr="00CB0A5E">
        <w:rPr>
          <w:rFonts w:ascii="Times New Roman" w:hAnsi="Times New Roman" w:cs="Times New Roman"/>
          <w:b/>
          <w:sz w:val="24"/>
          <w:szCs w:val="24"/>
        </w:rPr>
        <w:t>árképzést</w:t>
      </w:r>
      <w:proofErr w:type="spellEnd"/>
      <w:r w:rsidRPr="00CB0A5E">
        <w:rPr>
          <w:rFonts w:ascii="Times New Roman" w:hAnsi="Times New Roman" w:cs="Times New Roman"/>
          <w:b/>
          <w:sz w:val="24"/>
          <w:szCs w:val="24"/>
        </w:rPr>
        <w:t xml:space="preserve"> és vevői érték alapú </w:t>
      </w:r>
      <w:proofErr w:type="spellStart"/>
      <w:r w:rsidRPr="00CB0A5E">
        <w:rPr>
          <w:rFonts w:ascii="Times New Roman" w:hAnsi="Times New Roman" w:cs="Times New Roman"/>
          <w:b/>
          <w:sz w:val="24"/>
          <w:szCs w:val="24"/>
        </w:rPr>
        <w:t>árképzést</w:t>
      </w:r>
      <w:proofErr w:type="spellEnd"/>
      <w:r w:rsidRPr="00CB0A5E">
        <w:rPr>
          <w:rFonts w:ascii="Times New Roman" w:hAnsi="Times New Roman" w:cs="Times New Roman"/>
          <w:sz w:val="24"/>
          <w:szCs w:val="24"/>
        </w:rPr>
        <w:t xml:space="preserve">. </w:t>
      </w:r>
    </w:p>
    <w:p w14:paraId="3E2C3544"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A költség alapú </w:t>
      </w:r>
      <w:proofErr w:type="spellStart"/>
      <w:r w:rsidRPr="00CB0A5E">
        <w:rPr>
          <w:rFonts w:ascii="Times New Roman" w:hAnsi="Times New Roman" w:cs="Times New Roman"/>
          <w:b/>
          <w:sz w:val="24"/>
          <w:szCs w:val="24"/>
        </w:rPr>
        <w:t>árképzésnél</w:t>
      </w:r>
      <w:proofErr w:type="spellEnd"/>
      <w:r w:rsidRPr="00CB0A5E">
        <w:rPr>
          <w:rFonts w:ascii="Times New Roman" w:hAnsi="Times New Roman" w:cs="Times New Roman"/>
          <w:sz w:val="24"/>
          <w:szCs w:val="24"/>
        </w:rPr>
        <w:t xml:space="preserve"> a vállalat számba veszi az összes termékkel kapcsolatos kiadást (előállítási, forgalmazási, </w:t>
      </w:r>
      <w:proofErr w:type="gramStart"/>
      <w:r w:rsidRPr="00CB0A5E">
        <w:rPr>
          <w:rFonts w:ascii="Times New Roman" w:hAnsi="Times New Roman" w:cs="Times New Roman"/>
          <w:sz w:val="24"/>
          <w:szCs w:val="24"/>
        </w:rPr>
        <w:t>marketing,..</w:t>
      </w:r>
      <w:proofErr w:type="gramEnd"/>
      <w:r w:rsidRPr="00CB0A5E">
        <w:rPr>
          <w:rFonts w:ascii="Times New Roman" w:hAnsi="Times New Roman" w:cs="Times New Roman"/>
          <w:sz w:val="24"/>
          <w:szCs w:val="24"/>
        </w:rPr>
        <w:t>) és egy méltányos megtérülési ráta hozzáadásával szabja meg a végső árat. Ezen az elven alapul a</w:t>
      </w:r>
      <w:r w:rsidRPr="00CB0A5E">
        <w:rPr>
          <w:rFonts w:ascii="Times New Roman" w:hAnsi="Times New Roman" w:cs="Times New Roman"/>
          <w:b/>
          <w:bCs/>
          <w:sz w:val="24"/>
          <w:szCs w:val="24"/>
        </w:rPr>
        <w:t xml:space="preserve"> haszonkulcselvű árazás, </w:t>
      </w:r>
      <w:r w:rsidRPr="00CB0A5E">
        <w:rPr>
          <w:rFonts w:ascii="Times New Roman" w:hAnsi="Times New Roman" w:cs="Times New Roman"/>
          <w:bCs/>
          <w:sz w:val="24"/>
          <w:szCs w:val="24"/>
        </w:rPr>
        <w:t xml:space="preserve">amely </w:t>
      </w:r>
      <w:r w:rsidRPr="00CB0A5E">
        <w:rPr>
          <w:rFonts w:ascii="Times New Roman" w:hAnsi="Times New Roman" w:cs="Times New Roman"/>
          <w:sz w:val="24"/>
          <w:szCs w:val="24"/>
        </w:rPr>
        <w:t xml:space="preserve">az </w:t>
      </w:r>
      <w:proofErr w:type="spellStart"/>
      <w:r w:rsidRPr="00CB0A5E">
        <w:rPr>
          <w:rFonts w:ascii="Times New Roman" w:hAnsi="Times New Roman" w:cs="Times New Roman"/>
          <w:sz w:val="24"/>
          <w:szCs w:val="24"/>
        </w:rPr>
        <w:t>árképzés</w:t>
      </w:r>
      <w:proofErr w:type="spellEnd"/>
      <w:r w:rsidRPr="00CB0A5E">
        <w:rPr>
          <w:rFonts w:ascii="Times New Roman" w:hAnsi="Times New Roman" w:cs="Times New Roman"/>
          <w:sz w:val="24"/>
          <w:szCs w:val="24"/>
        </w:rPr>
        <w:t xml:space="preserve"> legegyszerűbb formája, amikor a termék költségeire standard árrést tesznek.</w:t>
      </w:r>
      <w:r w:rsidRPr="00CB0A5E">
        <w:rPr>
          <w:rFonts w:ascii="Times New Roman" w:hAnsi="Times New Roman" w:cs="Times New Roman"/>
          <w:b/>
          <w:sz w:val="24"/>
          <w:szCs w:val="24"/>
        </w:rPr>
        <w:t xml:space="preserve"> A tervezett megtérülésre alapozott árazás </w:t>
      </w:r>
      <w:r w:rsidRPr="00CB0A5E">
        <w:rPr>
          <w:rFonts w:ascii="Times New Roman" w:hAnsi="Times New Roman" w:cs="Times New Roman"/>
          <w:sz w:val="24"/>
          <w:szCs w:val="24"/>
        </w:rPr>
        <w:t>alkalmazásakor</w:t>
      </w:r>
      <w:r w:rsidRPr="00CB0A5E">
        <w:rPr>
          <w:rFonts w:ascii="Times New Roman" w:hAnsi="Times New Roman" w:cs="Times New Roman"/>
          <w:b/>
          <w:sz w:val="24"/>
          <w:szCs w:val="24"/>
        </w:rPr>
        <w:t xml:space="preserve"> </w:t>
      </w:r>
      <w:r w:rsidRPr="00CB0A5E">
        <w:rPr>
          <w:rFonts w:ascii="Times New Roman" w:hAnsi="Times New Roman" w:cs="Times New Roman"/>
          <w:sz w:val="24"/>
          <w:szCs w:val="24"/>
        </w:rPr>
        <w:t>a vállalat úgy alakítja az árat, hogy a befektetés hozama elérje a kívánt szintet.</w:t>
      </w:r>
    </w:p>
    <w:p w14:paraId="41045249"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Verseny alapú </w:t>
      </w:r>
      <w:proofErr w:type="spellStart"/>
      <w:r w:rsidRPr="00CB0A5E">
        <w:rPr>
          <w:rFonts w:ascii="Times New Roman" w:hAnsi="Times New Roman" w:cs="Times New Roman"/>
          <w:b/>
          <w:bCs/>
          <w:sz w:val="24"/>
          <w:szCs w:val="24"/>
        </w:rPr>
        <w:t>árképzés</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során</w:t>
      </w:r>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 xml:space="preserve">a vállalatnak figyelembe kell vennie a versenytársak költségeit, árait és várható </w:t>
      </w:r>
      <w:proofErr w:type="spellStart"/>
      <w:r w:rsidRPr="00CB0A5E">
        <w:rPr>
          <w:rFonts w:ascii="Times New Roman" w:hAnsi="Times New Roman" w:cs="Times New Roman"/>
          <w:sz w:val="24"/>
          <w:szCs w:val="24"/>
        </w:rPr>
        <w:t>árreakcióit</w:t>
      </w:r>
      <w:proofErr w:type="spellEnd"/>
      <w:r w:rsidRPr="00CB0A5E">
        <w:rPr>
          <w:rFonts w:ascii="Times New Roman" w:hAnsi="Times New Roman" w:cs="Times New Roman"/>
          <w:sz w:val="24"/>
          <w:szCs w:val="24"/>
        </w:rPr>
        <w:t xml:space="preserve"> is. </w:t>
      </w:r>
    </w:p>
    <w:p w14:paraId="5DD59987" w14:textId="77777777" w:rsidR="004D3317"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Az észlelt érték szerinti </w:t>
      </w:r>
      <w:proofErr w:type="spellStart"/>
      <w:r w:rsidRPr="00CB0A5E">
        <w:rPr>
          <w:rFonts w:ascii="Times New Roman" w:hAnsi="Times New Roman" w:cs="Times New Roman"/>
          <w:b/>
          <w:sz w:val="24"/>
          <w:szCs w:val="24"/>
        </w:rPr>
        <w:t>árképzés</w:t>
      </w:r>
      <w:proofErr w:type="spellEnd"/>
      <w:r w:rsidRPr="00CB0A5E">
        <w:rPr>
          <w:rFonts w:ascii="Times New Roman" w:hAnsi="Times New Roman" w:cs="Times New Roman"/>
          <w:sz w:val="24"/>
          <w:szCs w:val="24"/>
        </w:rPr>
        <w:t xml:space="preserve"> a termék vevő által észlelt értékét veszi alapul. Ez az észlelt érték olyan elemekből tevődik össze, mint a vevők termékről alkotott képe, a csatorna áteresztőképessége, a garanciavállalás mértéke, az ügyfélszolgálat, az eladó hírneve, megbízhatósága és megbecsültsége. A versenytársnál magasabb értéket kell kínálni, és a kínált </w:t>
      </w:r>
      <w:r w:rsidRPr="00CB0A5E">
        <w:rPr>
          <w:rFonts w:ascii="Times New Roman" w:hAnsi="Times New Roman" w:cs="Times New Roman"/>
          <w:sz w:val="24"/>
          <w:szCs w:val="24"/>
        </w:rPr>
        <w:lastRenderedPageBreak/>
        <w:t xml:space="preserve">értéket egyértelművé kell tenni a potenciális vásárlók számára. Az észlelt érték szerinti árazás fogyasztóorientált. </w:t>
      </w:r>
      <w:r w:rsidRPr="00CB0A5E">
        <w:rPr>
          <w:rFonts w:ascii="Times New Roman" w:hAnsi="Times New Roman" w:cs="Times New Roman"/>
          <w:bCs/>
          <w:sz w:val="24"/>
          <w:szCs w:val="24"/>
        </w:rPr>
        <w:t xml:space="preserve">Az észlelt érték alapú árazás két típusa a </w:t>
      </w:r>
      <w:r w:rsidRPr="00CB0A5E">
        <w:rPr>
          <w:rFonts w:ascii="Times New Roman" w:hAnsi="Times New Roman" w:cs="Times New Roman"/>
          <w:b/>
          <w:bCs/>
          <w:sz w:val="24"/>
          <w:szCs w:val="24"/>
        </w:rPr>
        <w:t>kedvező értéken alapuló árazás</w:t>
      </w:r>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good</w:t>
      </w:r>
      <w:proofErr w:type="spellEnd"/>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value</w:t>
      </w:r>
      <w:proofErr w:type="spellEnd"/>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pricing</w:t>
      </w:r>
      <w:proofErr w:type="spellEnd"/>
      <w:r w:rsidRPr="00CB0A5E">
        <w:rPr>
          <w:rFonts w:ascii="Times New Roman" w:hAnsi="Times New Roman" w:cs="Times New Roman"/>
          <w:bCs/>
          <w:sz w:val="24"/>
          <w:szCs w:val="24"/>
        </w:rPr>
        <w:t xml:space="preserve">) és a </w:t>
      </w:r>
      <w:r w:rsidRPr="00CB0A5E">
        <w:rPr>
          <w:rFonts w:ascii="Times New Roman" w:hAnsi="Times New Roman" w:cs="Times New Roman"/>
          <w:b/>
          <w:bCs/>
          <w:sz w:val="24"/>
          <w:szCs w:val="24"/>
        </w:rPr>
        <w:t>hozzáadott érték alapú árazás</w:t>
      </w:r>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value-added</w:t>
      </w:r>
      <w:proofErr w:type="spellEnd"/>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pricing</w:t>
      </w:r>
      <w:proofErr w:type="spellEnd"/>
      <w:r w:rsidRPr="00CB0A5E">
        <w:rPr>
          <w:rFonts w:ascii="Times New Roman" w:hAnsi="Times New Roman" w:cs="Times New Roman"/>
          <w:bCs/>
          <w:sz w:val="24"/>
          <w:szCs w:val="24"/>
        </w:rPr>
        <w:t>).</w:t>
      </w:r>
      <w:r w:rsidRPr="00CB0A5E">
        <w:rPr>
          <w:rFonts w:ascii="Times New Roman" w:hAnsi="Times New Roman" w:cs="Times New Roman"/>
          <w:sz w:val="24"/>
          <w:szCs w:val="24"/>
        </w:rPr>
        <w:t xml:space="preserve"> A kedvező értéken alapuló árazás a minőség és a szolgáltatás megfelelő kombinációját nyújtja elfogadható árért. A kedvező értéken alapuló árazás egyik típusa a </w:t>
      </w:r>
      <w:r w:rsidRPr="00CB0A5E">
        <w:rPr>
          <w:rFonts w:ascii="Times New Roman" w:hAnsi="Times New Roman" w:cs="Times New Roman"/>
          <w:b/>
          <w:sz w:val="24"/>
          <w:szCs w:val="24"/>
        </w:rPr>
        <w:t>t</w:t>
      </w:r>
      <w:r w:rsidRPr="00CB0A5E">
        <w:rPr>
          <w:rFonts w:ascii="Times New Roman" w:hAnsi="Times New Roman" w:cs="Times New Roman"/>
          <w:b/>
          <w:bCs/>
          <w:sz w:val="24"/>
          <w:szCs w:val="24"/>
        </w:rPr>
        <w:t xml:space="preserve">artósan alacsony ár </w:t>
      </w:r>
      <w:r w:rsidRPr="00CB0A5E">
        <w:rPr>
          <w:rFonts w:ascii="Times New Roman" w:hAnsi="Times New Roman" w:cs="Times New Roman"/>
          <w:sz w:val="24"/>
          <w:szCs w:val="24"/>
        </w:rPr>
        <w:t xml:space="preserve">(EDLP – </w:t>
      </w:r>
      <w:proofErr w:type="spellStart"/>
      <w:r w:rsidRPr="00CB0A5E">
        <w:rPr>
          <w:rFonts w:ascii="Times New Roman" w:hAnsi="Times New Roman" w:cs="Times New Roman"/>
          <w:sz w:val="24"/>
          <w:szCs w:val="24"/>
        </w:rPr>
        <w:t>everyday</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low</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pricing</w:t>
      </w:r>
      <w:proofErr w:type="spellEnd"/>
      <w:r w:rsidRPr="00CB0A5E">
        <w:rPr>
          <w:rFonts w:ascii="Times New Roman" w:hAnsi="Times New Roman" w:cs="Times New Roman"/>
          <w:sz w:val="24"/>
          <w:szCs w:val="24"/>
        </w:rPr>
        <w:t xml:space="preserve">) folyamatosan alacsony árakkal dolgozik, és </w:t>
      </w:r>
      <w:proofErr w:type="gramStart"/>
      <w:r w:rsidRPr="00CB0A5E">
        <w:rPr>
          <w:rFonts w:ascii="Times New Roman" w:hAnsi="Times New Roman" w:cs="Times New Roman"/>
          <w:sz w:val="24"/>
          <w:szCs w:val="24"/>
        </w:rPr>
        <w:t>nem</w:t>
      </w:r>
      <w:proofErr w:type="gramEnd"/>
      <w:r w:rsidRPr="00CB0A5E">
        <w:rPr>
          <w:rFonts w:ascii="Times New Roman" w:hAnsi="Times New Roman" w:cs="Times New Roman"/>
          <w:sz w:val="24"/>
          <w:szCs w:val="24"/>
        </w:rPr>
        <w:t xml:space="preserve"> vagy csak ritkán alkalmazza az </w:t>
      </w:r>
      <w:proofErr w:type="spellStart"/>
      <w:r w:rsidRPr="00CB0A5E">
        <w:rPr>
          <w:rFonts w:ascii="Times New Roman" w:hAnsi="Times New Roman" w:cs="Times New Roman"/>
          <w:sz w:val="24"/>
          <w:szCs w:val="24"/>
        </w:rPr>
        <w:t>árpromóció</w:t>
      </w:r>
      <w:proofErr w:type="spellEnd"/>
      <w:r w:rsidRPr="00CB0A5E">
        <w:rPr>
          <w:rFonts w:ascii="Times New Roman" w:hAnsi="Times New Roman" w:cs="Times New Roman"/>
          <w:sz w:val="24"/>
          <w:szCs w:val="24"/>
        </w:rPr>
        <w:t xml:space="preserve"> és az akciók eszközét (</w:t>
      </w:r>
      <w:proofErr w:type="spellStart"/>
      <w:r w:rsidRPr="00CB0A5E">
        <w:rPr>
          <w:rFonts w:ascii="Times New Roman" w:hAnsi="Times New Roman" w:cs="Times New Roman"/>
          <w:sz w:val="24"/>
          <w:szCs w:val="24"/>
        </w:rPr>
        <w:t>pl</w:t>
      </w:r>
      <w:proofErr w:type="spellEnd"/>
      <w:r w:rsidRPr="00CB0A5E">
        <w:rPr>
          <w:rFonts w:ascii="Times New Roman" w:hAnsi="Times New Roman" w:cs="Times New Roman"/>
          <w:sz w:val="24"/>
          <w:szCs w:val="24"/>
        </w:rPr>
        <w:t xml:space="preserve">: ALDI, </w:t>
      </w:r>
      <w:proofErr w:type="spellStart"/>
      <w:r w:rsidRPr="00CB0A5E">
        <w:rPr>
          <w:rFonts w:ascii="Times New Roman" w:hAnsi="Times New Roman" w:cs="Times New Roman"/>
          <w:sz w:val="24"/>
          <w:szCs w:val="24"/>
        </w:rPr>
        <w:t>Ikea</w:t>
      </w:r>
      <w:proofErr w:type="spellEnd"/>
      <w:r w:rsidRPr="00CB0A5E">
        <w:rPr>
          <w:rFonts w:ascii="Times New Roman" w:hAnsi="Times New Roman" w:cs="Times New Roman"/>
          <w:sz w:val="24"/>
          <w:szCs w:val="24"/>
        </w:rPr>
        <w:t xml:space="preserve">). </w:t>
      </w:r>
      <w:r w:rsidRPr="00CB0A5E">
        <w:rPr>
          <w:rFonts w:ascii="Times New Roman" w:hAnsi="Times New Roman" w:cs="Times New Roman"/>
          <w:b/>
          <w:bCs/>
          <w:sz w:val="24"/>
          <w:szCs w:val="24"/>
        </w:rPr>
        <w:t xml:space="preserve">A hozzáadott érték alapú </w:t>
      </w:r>
      <w:proofErr w:type="spellStart"/>
      <w:r w:rsidRPr="00CB0A5E">
        <w:rPr>
          <w:rFonts w:ascii="Times New Roman" w:hAnsi="Times New Roman" w:cs="Times New Roman"/>
          <w:b/>
          <w:bCs/>
          <w:sz w:val="24"/>
          <w:szCs w:val="24"/>
        </w:rPr>
        <w:t>árképzés</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hozzáadott értéknövelt szolgáltatásokat és szolgáltatásokat nyújt a fogyasztóknak, ezáltal magasabb áron tudja kínálni a vállalat a termékeit.</w:t>
      </w:r>
    </w:p>
    <w:p w14:paraId="666FB62B" w14:textId="77777777" w:rsidR="0001325B" w:rsidRPr="00CB0A5E" w:rsidRDefault="0001325B" w:rsidP="00EC10C5">
      <w:pPr>
        <w:spacing w:after="60" w:line="240" w:lineRule="auto"/>
        <w:ind w:firstLine="709"/>
        <w:jc w:val="both"/>
        <w:rPr>
          <w:rFonts w:ascii="Times New Roman" w:hAnsi="Times New Roman" w:cs="Times New Roman"/>
          <w:sz w:val="24"/>
          <w:szCs w:val="24"/>
        </w:rPr>
      </w:pPr>
    </w:p>
    <w:p w14:paraId="66AC7F90" w14:textId="77777777" w:rsidR="004D3317" w:rsidRPr="00CB0A5E" w:rsidRDefault="004D3317" w:rsidP="00EC10C5">
      <w:pPr>
        <w:spacing w:after="60" w:line="240" w:lineRule="auto"/>
        <w:ind w:firstLine="709"/>
        <w:rPr>
          <w:rFonts w:ascii="Times New Roman" w:hAnsi="Times New Roman" w:cs="Times New Roman"/>
          <w:b/>
          <w:sz w:val="24"/>
          <w:szCs w:val="24"/>
        </w:rPr>
      </w:pPr>
      <w:bookmarkStart w:id="90" w:name="_Toc18420886"/>
      <w:r w:rsidRPr="00CB0A5E">
        <w:rPr>
          <w:rFonts w:ascii="Times New Roman" w:hAnsi="Times New Roman" w:cs="Times New Roman"/>
          <w:b/>
          <w:sz w:val="24"/>
          <w:szCs w:val="24"/>
        </w:rPr>
        <w:t xml:space="preserve">Az </w:t>
      </w:r>
      <w:proofErr w:type="spellStart"/>
      <w:r w:rsidRPr="00CB0A5E">
        <w:rPr>
          <w:rFonts w:ascii="Times New Roman" w:hAnsi="Times New Roman" w:cs="Times New Roman"/>
          <w:b/>
          <w:sz w:val="24"/>
          <w:szCs w:val="24"/>
        </w:rPr>
        <w:t>árképzést</w:t>
      </w:r>
      <w:proofErr w:type="spellEnd"/>
      <w:r w:rsidRPr="00CB0A5E">
        <w:rPr>
          <w:rFonts w:ascii="Times New Roman" w:hAnsi="Times New Roman" w:cs="Times New Roman"/>
          <w:b/>
          <w:sz w:val="24"/>
          <w:szCs w:val="24"/>
        </w:rPr>
        <w:t xml:space="preserve"> befolyásoló belső és külső tényezők</w:t>
      </w:r>
      <w:bookmarkEnd w:id="90"/>
    </w:p>
    <w:p w14:paraId="02A69F64"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Az </w:t>
      </w:r>
      <w:proofErr w:type="spellStart"/>
      <w:r w:rsidRPr="00CB0A5E">
        <w:rPr>
          <w:rFonts w:ascii="Times New Roman" w:hAnsi="Times New Roman" w:cs="Times New Roman"/>
          <w:sz w:val="24"/>
          <w:szCs w:val="24"/>
        </w:rPr>
        <w:t>árképzést</w:t>
      </w:r>
      <w:proofErr w:type="spellEnd"/>
      <w:r w:rsidRPr="00CB0A5E">
        <w:rPr>
          <w:rFonts w:ascii="Times New Roman" w:hAnsi="Times New Roman" w:cs="Times New Roman"/>
          <w:sz w:val="24"/>
          <w:szCs w:val="24"/>
        </w:rPr>
        <w:t xml:space="preserve"> befolyásolják belső (vállalaton belüli) és külső (vállalaton kívüli) tényezők. </w:t>
      </w:r>
      <w:r w:rsidRPr="00CB0A5E">
        <w:rPr>
          <w:rFonts w:ascii="Times New Roman" w:hAnsi="Times New Roman" w:cs="Times New Roman"/>
          <w:bCs/>
          <w:sz w:val="24"/>
          <w:szCs w:val="24"/>
        </w:rPr>
        <w:t>A vállalaton belüli befolyásoló tényezők közé tartozik a marketing stratégia, a vállalati megfontolások (például a vezetői kör) és a vállalaton kívüli befolyásoló tényezők (pl. piaci ár és kereslet).</w:t>
      </w:r>
      <w:r w:rsidRPr="00CB0A5E">
        <w:rPr>
          <w:rFonts w:ascii="Times New Roman" w:hAnsi="Times New Roman" w:cs="Times New Roman"/>
          <w:b/>
          <w:bCs/>
          <w:sz w:val="24"/>
          <w:szCs w:val="24"/>
        </w:rPr>
        <w:t xml:space="preserve"> </w:t>
      </w:r>
    </w:p>
    <w:p w14:paraId="4D3D7E44"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kereslet árrugalmassága </w:t>
      </w:r>
      <w:r w:rsidRPr="00CB0A5E">
        <w:rPr>
          <w:rFonts w:ascii="Times New Roman" w:hAnsi="Times New Roman" w:cs="Times New Roman"/>
          <w:sz w:val="24"/>
          <w:szCs w:val="24"/>
        </w:rPr>
        <w:t xml:space="preserve">a kereslet érzékenységének mértékét adja meg az árak változásának függvényében. </w:t>
      </w:r>
      <w:r w:rsidRPr="00CB0A5E">
        <w:rPr>
          <w:rFonts w:ascii="Times New Roman" w:hAnsi="Times New Roman" w:cs="Times New Roman"/>
          <w:bCs/>
          <w:sz w:val="24"/>
          <w:szCs w:val="24"/>
        </w:rPr>
        <w:t xml:space="preserve">Rugalmatlan keresletről beszélünk, </w:t>
      </w:r>
      <w:r w:rsidRPr="00CB0A5E">
        <w:rPr>
          <w:rFonts w:ascii="Times New Roman" w:hAnsi="Times New Roman" w:cs="Times New Roman"/>
          <w:sz w:val="24"/>
          <w:szCs w:val="24"/>
        </w:rPr>
        <w:t xml:space="preserve">ha egy kismértékű ármozgást kismértékű keresletváltozás követ. </w:t>
      </w:r>
      <w:r w:rsidRPr="00CB0A5E">
        <w:rPr>
          <w:rFonts w:ascii="Times New Roman" w:hAnsi="Times New Roman" w:cs="Times New Roman"/>
          <w:bCs/>
          <w:sz w:val="24"/>
          <w:szCs w:val="24"/>
        </w:rPr>
        <w:t xml:space="preserve">Rugalmas a kereslet, </w:t>
      </w:r>
      <w:r w:rsidRPr="00CB0A5E">
        <w:rPr>
          <w:rFonts w:ascii="Times New Roman" w:hAnsi="Times New Roman" w:cs="Times New Roman"/>
          <w:sz w:val="24"/>
          <w:szCs w:val="24"/>
        </w:rPr>
        <w:t>ha egy kismértékű ármozgást nagymértékű keresletváltozás követ.</w:t>
      </w:r>
    </w:p>
    <w:p w14:paraId="4B21E6B9"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7F52698C" wp14:editId="436DED01">
            <wp:extent cx="4680000" cy="4608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0" cy="460800"/>
                    </a:xfrm>
                    <a:prstGeom prst="rect">
                      <a:avLst/>
                    </a:prstGeom>
                    <a:noFill/>
                  </pic:spPr>
                </pic:pic>
              </a:graphicData>
            </a:graphic>
          </wp:inline>
        </w:drawing>
      </w:r>
    </w:p>
    <w:p w14:paraId="6E9D26E3" w14:textId="77777777" w:rsidR="004D3317" w:rsidRPr="00CB0A5E" w:rsidRDefault="004D3317" w:rsidP="00EC10C5">
      <w:pPr>
        <w:pStyle w:val="Stlus1"/>
      </w:pPr>
      <w:bookmarkStart w:id="91" w:name="_Toc1568879"/>
      <w:bookmarkStart w:id="92" w:name="_Toc18420887"/>
      <w:bookmarkStart w:id="93" w:name="_Toc18440844"/>
      <w:r w:rsidRPr="00CB0A5E">
        <w:t xml:space="preserve">Új termék </w:t>
      </w:r>
      <w:proofErr w:type="spellStart"/>
      <w:r w:rsidRPr="00CB0A5E">
        <w:t>árképzése</w:t>
      </w:r>
      <w:bookmarkEnd w:id="91"/>
      <w:bookmarkEnd w:id="92"/>
      <w:bookmarkEnd w:id="93"/>
      <w:proofErr w:type="spellEnd"/>
    </w:p>
    <w:p w14:paraId="1DE9D0F2"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2E019EC5" w14:textId="77777777" w:rsidR="004D3317" w:rsidRPr="00CB0A5E" w:rsidRDefault="004D3317"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 xml:space="preserve">Új termék bevezetésekor két árazási stratégiát különböztetünk meg a stratégiai célok alapján. </w:t>
      </w:r>
    </w:p>
    <w:p w14:paraId="0F34B0A7"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lefölöző árazás </w:t>
      </w:r>
      <w:r w:rsidRPr="00CB0A5E">
        <w:rPr>
          <w:rFonts w:ascii="Times New Roman" w:hAnsi="Times New Roman" w:cs="Times New Roman"/>
          <w:sz w:val="24"/>
          <w:szCs w:val="24"/>
        </w:rPr>
        <w:t>lényege, hogy az ár magasról indul, viszont idővel fokozatosan csökken.</w:t>
      </w:r>
    </w:p>
    <w:p w14:paraId="7369BC46"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tbl>
      <w:tblPr>
        <w:tblStyle w:val="Tblzatrcsos1vilgos"/>
        <w:tblW w:w="0" w:type="auto"/>
        <w:jc w:val="center"/>
        <w:tblLook w:val="0420" w:firstRow="1" w:lastRow="0" w:firstColumn="0" w:lastColumn="0" w:noHBand="0" w:noVBand="1"/>
      </w:tblPr>
      <w:tblGrid>
        <w:gridCol w:w="5807"/>
      </w:tblGrid>
      <w:tr w:rsidR="004D3317" w:rsidRPr="00CB0A5E" w14:paraId="5F938E77" w14:textId="77777777" w:rsidTr="00062572">
        <w:trPr>
          <w:cnfStyle w:val="100000000000" w:firstRow="1" w:lastRow="0" w:firstColumn="0" w:lastColumn="0" w:oddVBand="0" w:evenVBand="0" w:oddHBand="0" w:evenHBand="0" w:firstRowFirstColumn="0" w:firstRowLastColumn="0" w:lastRowFirstColumn="0" w:lastRowLastColumn="0"/>
          <w:trHeight w:val="283"/>
          <w:jc w:val="center"/>
        </w:trPr>
        <w:tc>
          <w:tcPr>
            <w:tcW w:w="5807" w:type="dxa"/>
            <w:hideMark/>
          </w:tcPr>
          <w:p w14:paraId="3A68BFD1"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kern w:val="24"/>
                <w:sz w:val="24"/>
                <w:szCs w:val="24"/>
                <w:lang w:eastAsia="hu-HU"/>
              </w:rPr>
              <w:t xml:space="preserve">A lefölöző árazás – magas árak </w:t>
            </w:r>
          </w:p>
        </w:tc>
      </w:tr>
      <w:tr w:rsidR="004D3317" w:rsidRPr="00CB0A5E" w14:paraId="7038B133" w14:textId="77777777" w:rsidTr="00062572">
        <w:trPr>
          <w:trHeight w:val="283"/>
          <w:jc w:val="center"/>
        </w:trPr>
        <w:tc>
          <w:tcPr>
            <w:tcW w:w="5807" w:type="dxa"/>
            <w:hideMark/>
          </w:tcPr>
          <w:p w14:paraId="3ACD4765"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color w:val="000000" w:themeColor="dark1"/>
                <w:kern w:val="24"/>
                <w:sz w:val="24"/>
                <w:szCs w:val="24"/>
                <w:lang w:eastAsia="hu-HU"/>
              </w:rPr>
              <w:t>A termék nagy értéket képvisel</w:t>
            </w:r>
          </w:p>
        </w:tc>
      </w:tr>
      <w:tr w:rsidR="004D3317" w:rsidRPr="00CB0A5E" w14:paraId="06395B3E" w14:textId="77777777" w:rsidTr="00062572">
        <w:trPr>
          <w:trHeight w:val="283"/>
          <w:jc w:val="center"/>
        </w:trPr>
        <w:tc>
          <w:tcPr>
            <w:tcW w:w="5807" w:type="dxa"/>
            <w:hideMark/>
          </w:tcPr>
          <w:p w14:paraId="49F2E49E"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color w:val="000000" w:themeColor="dark1"/>
                <w:kern w:val="24"/>
                <w:sz w:val="24"/>
                <w:szCs w:val="24"/>
                <w:lang w:eastAsia="hu-HU"/>
              </w:rPr>
              <w:t>Az ügyfelek magas vásárlóerővel rendelkeznek</w:t>
            </w:r>
          </w:p>
        </w:tc>
      </w:tr>
      <w:tr w:rsidR="004D3317" w:rsidRPr="00CB0A5E" w14:paraId="54BC38C4" w14:textId="77777777" w:rsidTr="00062572">
        <w:trPr>
          <w:trHeight w:val="283"/>
          <w:jc w:val="center"/>
        </w:trPr>
        <w:tc>
          <w:tcPr>
            <w:tcW w:w="5807" w:type="dxa"/>
            <w:hideMark/>
          </w:tcPr>
          <w:p w14:paraId="616E04D5"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color w:val="000000" w:themeColor="dark1"/>
                <w:kern w:val="24"/>
                <w:sz w:val="24"/>
                <w:szCs w:val="24"/>
                <w:lang w:eastAsia="hu-HU"/>
              </w:rPr>
              <w:t>A fogyasztó és számlafizető eltér</w:t>
            </w:r>
          </w:p>
        </w:tc>
      </w:tr>
      <w:tr w:rsidR="004D3317" w:rsidRPr="00CB0A5E" w14:paraId="06FD5681" w14:textId="77777777" w:rsidTr="00062572">
        <w:trPr>
          <w:trHeight w:val="283"/>
          <w:jc w:val="center"/>
        </w:trPr>
        <w:tc>
          <w:tcPr>
            <w:tcW w:w="5807" w:type="dxa"/>
            <w:hideMark/>
          </w:tcPr>
          <w:p w14:paraId="53DAABCA"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color w:val="000000" w:themeColor="dark1"/>
                <w:kern w:val="24"/>
                <w:sz w:val="24"/>
                <w:szCs w:val="24"/>
                <w:lang w:eastAsia="hu-HU"/>
              </w:rPr>
              <w:t>A verseny hiánya</w:t>
            </w:r>
          </w:p>
        </w:tc>
      </w:tr>
      <w:tr w:rsidR="004D3317" w:rsidRPr="00CB0A5E" w14:paraId="643F8133" w14:textId="77777777" w:rsidTr="00062572">
        <w:trPr>
          <w:trHeight w:val="283"/>
          <w:jc w:val="center"/>
        </w:trPr>
        <w:tc>
          <w:tcPr>
            <w:tcW w:w="5807" w:type="dxa"/>
            <w:hideMark/>
          </w:tcPr>
          <w:p w14:paraId="3FEC387A"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color w:val="000000" w:themeColor="dark1"/>
                <w:kern w:val="24"/>
                <w:sz w:val="24"/>
                <w:szCs w:val="24"/>
                <w:lang w:eastAsia="hu-HU"/>
              </w:rPr>
              <w:t>Jelentős késztetés a vásárlásra</w:t>
            </w:r>
          </w:p>
        </w:tc>
      </w:tr>
      <w:tr w:rsidR="004D3317" w:rsidRPr="00CB0A5E" w14:paraId="584D9DC9" w14:textId="77777777" w:rsidTr="00062572">
        <w:trPr>
          <w:trHeight w:val="283"/>
          <w:jc w:val="center"/>
        </w:trPr>
        <w:tc>
          <w:tcPr>
            <w:tcW w:w="5807" w:type="dxa"/>
            <w:hideMark/>
          </w:tcPr>
          <w:p w14:paraId="734C7C68"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color w:val="000000" w:themeColor="dark1"/>
                <w:kern w:val="24"/>
                <w:sz w:val="24"/>
                <w:szCs w:val="24"/>
                <w:lang w:eastAsia="hu-HU"/>
              </w:rPr>
              <w:t>A váltás költségei</w:t>
            </w:r>
          </w:p>
        </w:tc>
      </w:tr>
    </w:tbl>
    <w:p w14:paraId="34AB1989" w14:textId="77777777" w:rsidR="004D3317" w:rsidRPr="00B741D2" w:rsidRDefault="004D3317" w:rsidP="00EC10C5">
      <w:pPr>
        <w:spacing w:after="60" w:line="240" w:lineRule="auto"/>
        <w:ind w:left="707" w:firstLine="709"/>
        <w:jc w:val="both"/>
        <w:rPr>
          <w:rFonts w:ascii="Times New Roman" w:hAnsi="Times New Roman" w:cs="Times New Roman"/>
          <w:bCs/>
          <w:i/>
          <w:color w:val="000000" w:themeColor="text1"/>
          <w:sz w:val="24"/>
          <w:szCs w:val="24"/>
        </w:rPr>
      </w:pPr>
      <w:r w:rsidRPr="00B741D2">
        <w:rPr>
          <w:rFonts w:ascii="Times New Roman" w:hAnsi="Times New Roman" w:cs="Times New Roman"/>
          <w:bCs/>
          <w:i/>
          <w:color w:val="000000" w:themeColor="text1"/>
          <w:sz w:val="24"/>
          <w:szCs w:val="24"/>
        </w:rPr>
        <w:t xml:space="preserve">Forrás: </w:t>
      </w:r>
      <w:proofErr w:type="spellStart"/>
      <w:r w:rsidRPr="00B741D2">
        <w:rPr>
          <w:rFonts w:ascii="Times New Roman" w:hAnsi="Times New Roman" w:cs="Times New Roman"/>
          <w:bCs/>
          <w:i/>
          <w:color w:val="000000" w:themeColor="text1"/>
          <w:sz w:val="24"/>
          <w:szCs w:val="24"/>
        </w:rPr>
        <w:t>Jobber_Ellis-Chadwick</w:t>
      </w:r>
      <w:proofErr w:type="spellEnd"/>
      <w:r w:rsidRPr="00B741D2">
        <w:rPr>
          <w:rFonts w:ascii="Times New Roman" w:hAnsi="Times New Roman" w:cs="Times New Roman"/>
          <w:bCs/>
          <w:i/>
          <w:color w:val="000000" w:themeColor="text1"/>
          <w:sz w:val="24"/>
          <w:szCs w:val="24"/>
        </w:rPr>
        <w:t xml:space="preserve"> (2016)</w:t>
      </w:r>
    </w:p>
    <w:p w14:paraId="22FF7DBB"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3E87240F" w14:textId="77777777" w:rsidR="0001325B" w:rsidRDefault="0001325B" w:rsidP="00EC10C5">
      <w:pPr>
        <w:spacing w:after="60" w:line="240" w:lineRule="auto"/>
        <w:ind w:firstLine="709"/>
        <w:jc w:val="both"/>
        <w:rPr>
          <w:rFonts w:ascii="Times New Roman" w:hAnsi="Times New Roman" w:cs="Times New Roman"/>
          <w:b/>
          <w:bCs/>
          <w:sz w:val="24"/>
          <w:szCs w:val="24"/>
        </w:rPr>
      </w:pPr>
    </w:p>
    <w:p w14:paraId="617F24F8" w14:textId="77777777" w:rsidR="0001325B" w:rsidRDefault="0001325B" w:rsidP="00EC10C5">
      <w:pPr>
        <w:spacing w:after="60" w:line="240" w:lineRule="auto"/>
        <w:ind w:firstLine="709"/>
        <w:jc w:val="both"/>
        <w:rPr>
          <w:rFonts w:ascii="Times New Roman" w:hAnsi="Times New Roman" w:cs="Times New Roman"/>
          <w:b/>
          <w:bCs/>
          <w:sz w:val="24"/>
          <w:szCs w:val="24"/>
        </w:rPr>
      </w:pPr>
    </w:p>
    <w:p w14:paraId="65BA2FE8" w14:textId="77777777" w:rsidR="0001325B" w:rsidRDefault="0001325B" w:rsidP="00EC10C5">
      <w:pPr>
        <w:spacing w:after="60" w:line="240" w:lineRule="auto"/>
        <w:ind w:firstLine="709"/>
        <w:jc w:val="both"/>
        <w:rPr>
          <w:rFonts w:ascii="Times New Roman" w:hAnsi="Times New Roman" w:cs="Times New Roman"/>
          <w:b/>
          <w:bCs/>
          <w:sz w:val="24"/>
          <w:szCs w:val="24"/>
        </w:rPr>
      </w:pPr>
    </w:p>
    <w:p w14:paraId="32CCD41D" w14:textId="77777777" w:rsidR="0001325B" w:rsidRDefault="0001325B" w:rsidP="00EC10C5">
      <w:pPr>
        <w:spacing w:after="60" w:line="240" w:lineRule="auto"/>
        <w:ind w:firstLine="709"/>
        <w:jc w:val="both"/>
        <w:rPr>
          <w:rFonts w:ascii="Times New Roman" w:hAnsi="Times New Roman" w:cs="Times New Roman"/>
          <w:b/>
          <w:bCs/>
          <w:sz w:val="24"/>
          <w:szCs w:val="24"/>
        </w:rPr>
      </w:pPr>
    </w:p>
    <w:p w14:paraId="76F22789" w14:textId="77777777" w:rsidR="0001325B" w:rsidRDefault="0001325B" w:rsidP="00EC10C5">
      <w:pPr>
        <w:spacing w:after="60" w:line="240" w:lineRule="auto"/>
        <w:ind w:firstLine="709"/>
        <w:jc w:val="both"/>
        <w:rPr>
          <w:rFonts w:ascii="Times New Roman" w:hAnsi="Times New Roman" w:cs="Times New Roman"/>
          <w:b/>
          <w:bCs/>
          <w:sz w:val="24"/>
          <w:szCs w:val="24"/>
        </w:rPr>
      </w:pPr>
    </w:p>
    <w:p w14:paraId="42E3AC27" w14:textId="77777777" w:rsidR="0001325B" w:rsidRDefault="0001325B" w:rsidP="00EC10C5">
      <w:pPr>
        <w:spacing w:after="60" w:line="240" w:lineRule="auto"/>
        <w:ind w:firstLine="709"/>
        <w:jc w:val="both"/>
        <w:rPr>
          <w:rFonts w:ascii="Times New Roman" w:hAnsi="Times New Roman" w:cs="Times New Roman"/>
          <w:b/>
          <w:bCs/>
          <w:sz w:val="24"/>
          <w:szCs w:val="24"/>
        </w:rPr>
      </w:pPr>
    </w:p>
    <w:p w14:paraId="335037E6"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lastRenderedPageBreak/>
        <w:t xml:space="preserve">Behatoló </w:t>
      </w:r>
      <w:proofErr w:type="spellStart"/>
      <w:r w:rsidRPr="00CB0A5E">
        <w:rPr>
          <w:rFonts w:ascii="Times New Roman" w:hAnsi="Times New Roman" w:cs="Times New Roman"/>
          <w:b/>
          <w:bCs/>
          <w:sz w:val="24"/>
          <w:szCs w:val="24"/>
        </w:rPr>
        <w:t>árképzés</w:t>
      </w:r>
      <w:proofErr w:type="spellEnd"/>
      <w:r w:rsidRPr="00CB0A5E">
        <w:rPr>
          <w:rFonts w:ascii="Times New Roman" w:hAnsi="Times New Roman" w:cs="Times New Roman"/>
          <w:b/>
          <w:bCs/>
          <w:sz w:val="24"/>
          <w:szCs w:val="24"/>
        </w:rPr>
        <w:t xml:space="preserve"> (alacsony ár stratégia) - </w:t>
      </w:r>
      <w:r w:rsidRPr="00CB0A5E">
        <w:rPr>
          <w:rFonts w:ascii="Times New Roman" w:hAnsi="Times New Roman" w:cs="Times New Roman"/>
          <w:sz w:val="24"/>
          <w:szCs w:val="24"/>
        </w:rPr>
        <w:t>alacsony ár meghatározása egy új termékre azért, hogy nagyszámú vevőt vonzzanak és nagy piaci részesedést érjenek el.</w:t>
      </w:r>
    </w:p>
    <w:p w14:paraId="277D4354"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tbl>
      <w:tblPr>
        <w:tblStyle w:val="Rcsostblzat"/>
        <w:tblW w:w="0" w:type="auto"/>
        <w:jc w:val="center"/>
        <w:tblLook w:val="0420" w:firstRow="1" w:lastRow="0" w:firstColumn="0" w:lastColumn="0" w:noHBand="0" w:noVBand="1"/>
      </w:tblPr>
      <w:tblGrid>
        <w:gridCol w:w="5807"/>
      </w:tblGrid>
      <w:tr w:rsidR="004D3317" w:rsidRPr="00CB0A5E" w14:paraId="31AF0C68" w14:textId="77777777" w:rsidTr="00062572">
        <w:trPr>
          <w:trHeight w:val="340"/>
          <w:jc w:val="center"/>
        </w:trPr>
        <w:tc>
          <w:tcPr>
            <w:tcW w:w="5807" w:type="dxa"/>
            <w:hideMark/>
          </w:tcPr>
          <w:p w14:paraId="0B8CC004"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b/>
                <w:bCs/>
                <w:kern w:val="24"/>
                <w:sz w:val="24"/>
                <w:szCs w:val="24"/>
                <w:lang w:eastAsia="hu-HU"/>
              </w:rPr>
              <w:t xml:space="preserve">Behatoló </w:t>
            </w:r>
            <w:proofErr w:type="spellStart"/>
            <w:r w:rsidRPr="00CB0A5E">
              <w:rPr>
                <w:rFonts w:ascii="Times New Roman" w:eastAsia="Times New Roman" w:hAnsi="Times New Roman" w:cs="Times New Roman"/>
                <w:b/>
                <w:bCs/>
                <w:kern w:val="24"/>
                <w:sz w:val="24"/>
                <w:szCs w:val="24"/>
                <w:lang w:eastAsia="hu-HU"/>
              </w:rPr>
              <w:t>árképzés</w:t>
            </w:r>
            <w:proofErr w:type="spellEnd"/>
            <w:r w:rsidRPr="00CB0A5E">
              <w:rPr>
                <w:rFonts w:ascii="Times New Roman" w:eastAsia="Times New Roman" w:hAnsi="Times New Roman" w:cs="Times New Roman"/>
                <w:b/>
                <w:bCs/>
                <w:kern w:val="24"/>
                <w:sz w:val="24"/>
                <w:szCs w:val="24"/>
                <w:lang w:eastAsia="hu-HU"/>
              </w:rPr>
              <w:t xml:space="preserve"> – alacsony árak</w:t>
            </w:r>
          </w:p>
        </w:tc>
      </w:tr>
      <w:tr w:rsidR="004D3317" w:rsidRPr="00CB0A5E" w14:paraId="5C768481" w14:textId="77777777" w:rsidTr="00062572">
        <w:trPr>
          <w:trHeight w:val="340"/>
          <w:jc w:val="center"/>
        </w:trPr>
        <w:tc>
          <w:tcPr>
            <w:tcW w:w="5807" w:type="dxa"/>
            <w:hideMark/>
          </w:tcPr>
          <w:p w14:paraId="237BB90A"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kern w:val="24"/>
                <w:sz w:val="24"/>
                <w:szCs w:val="24"/>
                <w:lang w:eastAsia="hu-HU"/>
              </w:rPr>
              <w:t>Ez az egyedüli lehetőség</w:t>
            </w:r>
          </w:p>
        </w:tc>
      </w:tr>
      <w:tr w:rsidR="004D3317" w:rsidRPr="00CB0A5E" w14:paraId="54CBBB6B" w14:textId="77777777" w:rsidTr="00062572">
        <w:trPr>
          <w:trHeight w:val="340"/>
          <w:jc w:val="center"/>
        </w:trPr>
        <w:tc>
          <w:tcPr>
            <w:tcW w:w="5807" w:type="dxa"/>
            <w:hideMark/>
          </w:tcPr>
          <w:p w14:paraId="49C63AD4"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kern w:val="24"/>
                <w:sz w:val="24"/>
                <w:szCs w:val="24"/>
                <w:lang w:eastAsia="hu-HU"/>
              </w:rPr>
              <w:t>Piaci penetráció növelése</w:t>
            </w:r>
          </w:p>
        </w:tc>
      </w:tr>
      <w:tr w:rsidR="004D3317" w:rsidRPr="00CB0A5E" w14:paraId="42816A68" w14:textId="77777777" w:rsidTr="00062572">
        <w:trPr>
          <w:trHeight w:val="340"/>
          <w:jc w:val="center"/>
        </w:trPr>
        <w:tc>
          <w:tcPr>
            <w:tcW w:w="5807" w:type="dxa"/>
            <w:hideMark/>
          </w:tcPr>
          <w:p w14:paraId="26E1E0FF"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kern w:val="24"/>
                <w:sz w:val="24"/>
                <w:szCs w:val="24"/>
                <w:lang w:eastAsia="hu-HU"/>
              </w:rPr>
              <w:t>Későbbi bevételek</w:t>
            </w:r>
          </w:p>
        </w:tc>
      </w:tr>
      <w:tr w:rsidR="004D3317" w:rsidRPr="00CB0A5E" w14:paraId="063E6D86" w14:textId="77777777" w:rsidTr="00062572">
        <w:trPr>
          <w:trHeight w:val="340"/>
          <w:jc w:val="center"/>
        </w:trPr>
        <w:tc>
          <w:tcPr>
            <w:tcW w:w="5807" w:type="dxa"/>
            <w:hideMark/>
          </w:tcPr>
          <w:p w14:paraId="79DBF477"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kern w:val="24"/>
                <w:sz w:val="24"/>
                <w:szCs w:val="24"/>
                <w:lang w:eastAsia="hu-HU"/>
              </w:rPr>
              <w:t>Bevételek máshol</w:t>
            </w:r>
          </w:p>
        </w:tc>
      </w:tr>
      <w:tr w:rsidR="004D3317" w:rsidRPr="00CB0A5E" w14:paraId="239E136A" w14:textId="77777777" w:rsidTr="00062572">
        <w:trPr>
          <w:trHeight w:val="340"/>
          <w:jc w:val="center"/>
        </w:trPr>
        <w:tc>
          <w:tcPr>
            <w:tcW w:w="5807" w:type="dxa"/>
            <w:hideMark/>
          </w:tcPr>
          <w:p w14:paraId="23FC5D90"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kern w:val="24"/>
                <w:sz w:val="24"/>
                <w:szCs w:val="24"/>
                <w:lang w:eastAsia="hu-HU"/>
              </w:rPr>
              <w:t>Belépés megakadályozása</w:t>
            </w:r>
          </w:p>
        </w:tc>
      </w:tr>
      <w:tr w:rsidR="004D3317" w:rsidRPr="00CB0A5E" w14:paraId="0BAB57A7" w14:textId="77777777" w:rsidTr="00062572">
        <w:trPr>
          <w:trHeight w:val="340"/>
          <w:jc w:val="center"/>
        </w:trPr>
        <w:tc>
          <w:tcPr>
            <w:tcW w:w="5807" w:type="dxa"/>
            <w:hideMark/>
          </w:tcPr>
          <w:p w14:paraId="025B8288" w14:textId="77777777" w:rsidR="004D3317" w:rsidRPr="00CB0A5E" w:rsidRDefault="004D3317" w:rsidP="00EC10C5">
            <w:pPr>
              <w:spacing w:after="60"/>
              <w:ind w:firstLine="709"/>
              <w:rPr>
                <w:rFonts w:ascii="Times New Roman" w:eastAsia="Times New Roman" w:hAnsi="Times New Roman" w:cs="Times New Roman"/>
                <w:sz w:val="24"/>
                <w:szCs w:val="24"/>
                <w:lang w:eastAsia="hu-HU"/>
              </w:rPr>
            </w:pPr>
            <w:r w:rsidRPr="00CB0A5E">
              <w:rPr>
                <w:rFonts w:ascii="Times New Roman" w:eastAsia="Times New Roman" w:hAnsi="Times New Roman" w:cs="Times New Roman"/>
                <w:kern w:val="24"/>
                <w:sz w:val="24"/>
                <w:szCs w:val="24"/>
                <w:lang w:eastAsia="hu-HU"/>
              </w:rPr>
              <w:t>Dömpingár / felfaló árazás (</w:t>
            </w:r>
            <w:proofErr w:type="spellStart"/>
            <w:r w:rsidRPr="00CB0A5E">
              <w:rPr>
                <w:rFonts w:ascii="Times New Roman" w:eastAsia="Times New Roman" w:hAnsi="Times New Roman" w:cs="Times New Roman"/>
                <w:kern w:val="24"/>
                <w:sz w:val="24"/>
                <w:szCs w:val="24"/>
                <w:lang w:eastAsia="hu-HU"/>
              </w:rPr>
              <w:t>predatory</w:t>
            </w:r>
            <w:proofErr w:type="spellEnd"/>
            <w:r w:rsidRPr="00CB0A5E">
              <w:rPr>
                <w:rFonts w:ascii="Times New Roman" w:eastAsia="Times New Roman" w:hAnsi="Times New Roman" w:cs="Times New Roman"/>
                <w:kern w:val="24"/>
                <w:sz w:val="24"/>
                <w:szCs w:val="24"/>
                <w:lang w:eastAsia="hu-HU"/>
              </w:rPr>
              <w:t xml:space="preserve"> </w:t>
            </w:r>
            <w:proofErr w:type="spellStart"/>
            <w:r w:rsidRPr="00CB0A5E">
              <w:rPr>
                <w:rFonts w:ascii="Times New Roman" w:eastAsia="Times New Roman" w:hAnsi="Times New Roman" w:cs="Times New Roman"/>
                <w:kern w:val="24"/>
                <w:sz w:val="24"/>
                <w:szCs w:val="24"/>
                <w:lang w:eastAsia="hu-HU"/>
              </w:rPr>
              <w:t>pricing</w:t>
            </w:r>
            <w:proofErr w:type="spellEnd"/>
            <w:r w:rsidRPr="00CB0A5E">
              <w:rPr>
                <w:rFonts w:ascii="Times New Roman" w:eastAsia="Times New Roman" w:hAnsi="Times New Roman" w:cs="Times New Roman"/>
                <w:kern w:val="24"/>
                <w:sz w:val="24"/>
                <w:szCs w:val="24"/>
                <w:lang w:eastAsia="hu-HU"/>
              </w:rPr>
              <w:t>)!</w:t>
            </w:r>
          </w:p>
        </w:tc>
      </w:tr>
    </w:tbl>
    <w:p w14:paraId="474E56A5" w14:textId="77777777" w:rsidR="004D3317" w:rsidRPr="00CB0A5E" w:rsidRDefault="004D3317" w:rsidP="00EC10C5">
      <w:pPr>
        <w:spacing w:after="60" w:line="240" w:lineRule="auto"/>
        <w:ind w:left="707" w:firstLine="709"/>
        <w:jc w:val="both"/>
        <w:rPr>
          <w:rFonts w:ascii="Times New Roman" w:hAnsi="Times New Roman" w:cs="Times New Roman"/>
          <w:bCs/>
          <w:i/>
          <w:sz w:val="24"/>
          <w:szCs w:val="24"/>
        </w:rPr>
      </w:pPr>
      <w:r w:rsidRPr="00CB0A5E">
        <w:rPr>
          <w:rFonts w:ascii="Times New Roman" w:hAnsi="Times New Roman" w:cs="Times New Roman"/>
          <w:bCs/>
          <w:i/>
          <w:sz w:val="24"/>
          <w:szCs w:val="24"/>
        </w:rPr>
        <w:t xml:space="preserve">Forrás: </w:t>
      </w:r>
      <w:proofErr w:type="spellStart"/>
      <w:r w:rsidRPr="00CB0A5E">
        <w:rPr>
          <w:rFonts w:ascii="Times New Roman" w:hAnsi="Times New Roman" w:cs="Times New Roman"/>
          <w:bCs/>
          <w:i/>
          <w:sz w:val="24"/>
          <w:szCs w:val="24"/>
        </w:rPr>
        <w:t>Jobber_Ellis-Chadwick</w:t>
      </w:r>
      <w:proofErr w:type="spellEnd"/>
      <w:r w:rsidRPr="00CB0A5E">
        <w:rPr>
          <w:rFonts w:ascii="Times New Roman" w:hAnsi="Times New Roman" w:cs="Times New Roman"/>
          <w:bCs/>
          <w:i/>
          <w:sz w:val="24"/>
          <w:szCs w:val="24"/>
        </w:rPr>
        <w:t xml:space="preserve"> (2016)</w:t>
      </w:r>
    </w:p>
    <w:p w14:paraId="235ED286"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07BF1A07" w14:textId="77777777" w:rsidR="004D3317" w:rsidRPr="00CB0A5E" w:rsidRDefault="004D3317" w:rsidP="00EC10C5">
      <w:pPr>
        <w:pStyle w:val="Stlus1"/>
      </w:pPr>
      <w:bookmarkStart w:id="94" w:name="_Toc1568880"/>
      <w:bookmarkStart w:id="95" w:name="_Toc18420888"/>
      <w:bookmarkStart w:id="96" w:name="_Toc18440845"/>
      <w:r w:rsidRPr="00CB0A5E">
        <w:t xml:space="preserve">Termékmix </w:t>
      </w:r>
      <w:proofErr w:type="spellStart"/>
      <w:r w:rsidRPr="00CB0A5E">
        <w:t>árképzési</w:t>
      </w:r>
      <w:proofErr w:type="spellEnd"/>
      <w:r w:rsidRPr="00CB0A5E">
        <w:t xml:space="preserve"> stratégia</w:t>
      </w:r>
      <w:bookmarkEnd w:id="94"/>
      <w:bookmarkEnd w:id="95"/>
      <w:bookmarkEnd w:id="96"/>
    </w:p>
    <w:p w14:paraId="49562CA0" w14:textId="77777777" w:rsidR="004D3317" w:rsidRPr="00CB0A5E" w:rsidRDefault="004D3317" w:rsidP="00EC10C5">
      <w:pPr>
        <w:spacing w:after="60" w:line="240" w:lineRule="auto"/>
        <w:ind w:firstLine="709"/>
        <w:jc w:val="both"/>
        <w:rPr>
          <w:rFonts w:ascii="Times New Roman" w:hAnsi="Times New Roman" w:cs="Times New Roman"/>
          <w:bCs/>
          <w:sz w:val="24"/>
          <w:szCs w:val="24"/>
        </w:rPr>
      </w:pPr>
      <w:r w:rsidRPr="00CB0A5E">
        <w:rPr>
          <w:rFonts w:ascii="Times New Roman" w:hAnsi="Times New Roman" w:cs="Times New Roman"/>
          <w:bCs/>
          <w:sz w:val="24"/>
          <w:szCs w:val="24"/>
        </w:rPr>
        <w:t xml:space="preserve">A termékmix (vagy termék portfólió) olyan termékcsaládok és cikkek összessége, amelyek egy meghatározott eladó kínálatában megtalálhatók. Az egyedi termékek árának meghatározása helyett sok vállalat a termékmix vonatkozásában határozza meg az árakat, hogy maximalizálja a nyereségét. Öt termékmix </w:t>
      </w:r>
      <w:proofErr w:type="spellStart"/>
      <w:r w:rsidRPr="00CB0A5E">
        <w:rPr>
          <w:rFonts w:ascii="Times New Roman" w:hAnsi="Times New Roman" w:cs="Times New Roman"/>
          <w:bCs/>
          <w:sz w:val="24"/>
          <w:szCs w:val="24"/>
        </w:rPr>
        <w:t>árképzési</w:t>
      </w:r>
      <w:proofErr w:type="spellEnd"/>
      <w:r w:rsidRPr="00CB0A5E">
        <w:rPr>
          <w:rFonts w:ascii="Times New Roman" w:hAnsi="Times New Roman" w:cs="Times New Roman"/>
          <w:bCs/>
          <w:sz w:val="24"/>
          <w:szCs w:val="24"/>
        </w:rPr>
        <w:t xml:space="preserve"> stratégiát vizsgálunk a továbbiakban.  </w:t>
      </w:r>
    </w:p>
    <w:p w14:paraId="09FAC4CE"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Termékcsalád árazása </w:t>
      </w:r>
      <w:r w:rsidRPr="00CB0A5E">
        <w:rPr>
          <w:rFonts w:ascii="Times New Roman" w:hAnsi="Times New Roman" w:cs="Times New Roman"/>
          <w:sz w:val="24"/>
          <w:szCs w:val="24"/>
        </w:rPr>
        <w:t xml:space="preserve">A vállalatok rendszerint nem egyedi termékeket, hanem termékcsaládokat fejlesztenek és </w:t>
      </w:r>
      <w:proofErr w:type="spellStart"/>
      <w:r w:rsidRPr="00CB0A5E">
        <w:rPr>
          <w:rFonts w:ascii="Times New Roman" w:hAnsi="Times New Roman" w:cs="Times New Roman"/>
          <w:sz w:val="24"/>
          <w:szCs w:val="24"/>
        </w:rPr>
        <w:t>árlépcsőket</w:t>
      </w:r>
      <w:proofErr w:type="spellEnd"/>
      <w:r w:rsidRPr="00CB0A5E">
        <w:rPr>
          <w:rFonts w:ascii="Times New Roman" w:hAnsi="Times New Roman" w:cs="Times New Roman"/>
          <w:sz w:val="24"/>
          <w:szCs w:val="24"/>
        </w:rPr>
        <w:t xml:space="preserve"> vezetnek be.</w:t>
      </w:r>
    </w:p>
    <w:p w14:paraId="745CBBAB"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Kiegészítők árazása </w:t>
      </w:r>
      <w:r w:rsidRPr="00CB0A5E">
        <w:rPr>
          <w:rFonts w:ascii="Times New Roman" w:hAnsi="Times New Roman" w:cs="Times New Roman"/>
          <w:sz w:val="24"/>
          <w:szCs w:val="24"/>
        </w:rPr>
        <w:t xml:space="preserve">Sok vállalat kínál fő termékéhez külön rendelhető kiegészítő termékeket, funkciókat és szolgáltatásokat. Dönteni kell, mi legyen az alapcsomag része, mi legyen külön kapható. </w:t>
      </w:r>
    </w:p>
    <w:p w14:paraId="24988F1A"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Segédtermék árazása </w:t>
      </w:r>
      <w:r w:rsidRPr="00CB0A5E">
        <w:rPr>
          <w:rFonts w:ascii="Times New Roman" w:hAnsi="Times New Roman" w:cs="Times New Roman"/>
          <w:sz w:val="24"/>
          <w:szCs w:val="24"/>
        </w:rPr>
        <w:t xml:space="preserve">Bizonyos termékekhez segéd- vagy kiegészítő termékekre van szükség. Ezért az alapterméket a cég adhatja kedvezőbb áron, míg a segédtermékeken magasabb </w:t>
      </w:r>
      <w:proofErr w:type="spellStart"/>
      <w:r w:rsidRPr="00CB0A5E">
        <w:rPr>
          <w:rFonts w:ascii="Times New Roman" w:hAnsi="Times New Roman" w:cs="Times New Roman"/>
          <w:sz w:val="24"/>
          <w:szCs w:val="24"/>
        </w:rPr>
        <w:t>árréssel</w:t>
      </w:r>
      <w:proofErr w:type="spellEnd"/>
      <w:r w:rsidRPr="00CB0A5E">
        <w:rPr>
          <w:rFonts w:ascii="Times New Roman" w:hAnsi="Times New Roman" w:cs="Times New Roman"/>
          <w:sz w:val="24"/>
          <w:szCs w:val="24"/>
        </w:rPr>
        <w:t xml:space="preserve"> dolgozhat. Ennek a technikának a változata a </w:t>
      </w:r>
      <w:r w:rsidRPr="00CB0A5E">
        <w:rPr>
          <w:rFonts w:ascii="Times New Roman" w:hAnsi="Times New Roman" w:cs="Times New Roman"/>
          <w:b/>
          <w:sz w:val="24"/>
          <w:szCs w:val="24"/>
        </w:rPr>
        <w:t>k</w:t>
      </w:r>
      <w:r w:rsidRPr="00CB0A5E">
        <w:rPr>
          <w:rFonts w:ascii="Times New Roman" w:hAnsi="Times New Roman" w:cs="Times New Roman"/>
          <w:b/>
          <w:bCs/>
          <w:sz w:val="24"/>
          <w:szCs w:val="24"/>
        </w:rPr>
        <w:t>étrészes (</w:t>
      </w:r>
      <w:proofErr w:type="spellStart"/>
      <w:r w:rsidRPr="00CB0A5E">
        <w:rPr>
          <w:rFonts w:ascii="Times New Roman" w:hAnsi="Times New Roman" w:cs="Times New Roman"/>
          <w:b/>
          <w:bCs/>
          <w:sz w:val="24"/>
          <w:szCs w:val="24"/>
        </w:rPr>
        <w:t>two</w:t>
      </w:r>
      <w:proofErr w:type="spellEnd"/>
      <w:r w:rsidRPr="00CB0A5E">
        <w:rPr>
          <w:rFonts w:ascii="Times New Roman" w:hAnsi="Times New Roman" w:cs="Times New Roman"/>
          <w:b/>
          <w:bCs/>
          <w:sz w:val="24"/>
          <w:szCs w:val="24"/>
        </w:rPr>
        <w:t xml:space="preserve">-part) árazás </w:t>
      </w:r>
      <w:r w:rsidRPr="00CB0A5E">
        <w:rPr>
          <w:rFonts w:ascii="Times New Roman" w:hAnsi="Times New Roman" w:cs="Times New Roman"/>
          <w:sz w:val="24"/>
          <w:szCs w:val="24"/>
        </w:rPr>
        <w:t>A szolgáltató cégek gyakran kétrészes árazást alkalmaznak, amikor a rögzített alapdíj mellett egy változó használati díjat is felszámolnak. Pl. mobiltelefon-szolgáltatás</w:t>
      </w:r>
    </w:p>
    <w:p w14:paraId="0BB69537"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Melléktermékek árazása (</w:t>
      </w:r>
      <w:proofErr w:type="spellStart"/>
      <w:r w:rsidRPr="00CB0A5E">
        <w:rPr>
          <w:rFonts w:ascii="Times New Roman" w:hAnsi="Times New Roman" w:cs="Times New Roman"/>
          <w:b/>
          <w:bCs/>
          <w:sz w:val="24"/>
          <w:szCs w:val="24"/>
        </w:rPr>
        <w:t>by-product</w:t>
      </w:r>
      <w:proofErr w:type="spellEnd"/>
      <w:r w:rsidRPr="00CB0A5E">
        <w:rPr>
          <w:rFonts w:ascii="Times New Roman" w:hAnsi="Times New Roman" w:cs="Times New Roman"/>
          <w:b/>
          <w:bCs/>
          <w:sz w:val="24"/>
          <w:szCs w:val="24"/>
        </w:rPr>
        <w:t xml:space="preserve"> </w:t>
      </w:r>
      <w:proofErr w:type="spellStart"/>
      <w:r w:rsidRPr="00CB0A5E">
        <w:rPr>
          <w:rFonts w:ascii="Times New Roman" w:hAnsi="Times New Roman" w:cs="Times New Roman"/>
          <w:b/>
          <w:bCs/>
          <w:sz w:val="24"/>
          <w:szCs w:val="24"/>
        </w:rPr>
        <w:t>pricing</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 xml:space="preserve">Bizonyos cikkek gyártása során gyakran melléktermékek is keletkeznek, </w:t>
      </w:r>
      <w:proofErr w:type="gramStart"/>
      <w:r w:rsidRPr="00CB0A5E">
        <w:rPr>
          <w:rFonts w:ascii="Times New Roman" w:hAnsi="Times New Roman" w:cs="Times New Roman"/>
          <w:sz w:val="24"/>
          <w:szCs w:val="24"/>
        </w:rPr>
        <w:t>amelyek</w:t>
      </w:r>
      <w:proofErr w:type="gramEnd"/>
      <w:r w:rsidRPr="00CB0A5E">
        <w:rPr>
          <w:rFonts w:ascii="Times New Roman" w:hAnsi="Times New Roman" w:cs="Times New Roman"/>
          <w:sz w:val="24"/>
          <w:szCs w:val="24"/>
        </w:rPr>
        <w:t xml:space="preserve"> ha nem értékesek, akkor megemelhetik a főtermék árát. Ha a melléktermék eladhatóvá válik, akkor a mellékterméken keresett összegek lehetővé teszik, hogy a vállalat – ha a verseny rákényszeríti – csökkentse fő terméke árát, így versenyképesebbé tehetik azt.  Pl. húsáru</w:t>
      </w:r>
    </w:p>
    <w:p w14:paraId="76871E5E"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Csomagárazás </w:t>
      </w:r>
      <w:r w:rsidRPr="00CB0A5E">
        <w:rPr>
          <w:rFonts w:ascii="Times New Roman" w:hAnsi="Times New Roman" w:cs="Times New Roman"/>
          <w:sz w:val="24"/>
          <w:szCs w:val="24"/>
        </w:rPr>
        <w:t>Az eladók gyakran kötnek egymáshoz termékeket és funkciókat. Tiszta csomagról akkor beszélhetünk, ha a cég kizárólag csomagban kínálja termékeit. Vegyes csomag esetén az eladó egyesével és csomagban is kínál cikkeket, és a csomagért jellemzően kevesebbet kér, mint a külön-külön megvásárolt cikkekért.</w:t>
      </w:r>
    </w:p>
    <w:p w14:paraId="38A4EF9D" w14:textId="77777777" w:rsidR="006F66B1" w:rsidRPr="00CB0A5E" w:rsidRDefault="006F66B1" w:rsidP="00EC10C5">
      <w:pPr>
        <w:spacing w:after="60" w:line="240" w:lineRule="auto"/>
        <w:ind w:firstLine="709"/>
        <w:jc w:val="both"/>
        <w:rPr>
          <w:rFonts w:ascii="Times New Roman" w:hAnsi="Times New Roman" w:cs="Times New Roman"/>
          <w:sz w:val="24"/>
          <w:szCs w:val="24"/>
        </w:rPr>
      </w:pPr>
    </w:p>
    <w:p w14:paraId="2A89306E" w14:textId="77777777" w:rsidR="004D3317" w:rsidRPr="00CB0A5E" w:rsidRDefault="004D3317" w:rsidP="00EC10C5">
      <w:pPr>
        <w:pStyle w:val="Stlus1"/>
      </w:pPr>
      <w:bookmarkStart w:id="97" w:name="_Toc1568881"/>
      <w:bookmarkStart w:id="98" w:name="_Toc18420889"/>
      <w:bookmarkStart w:id="99" w:name="_Toc18440846"/>
      <w:proofErr w:type="spellStart"/>
      <w:r w:rsidRPr="00CB0A5E">
        <w:t>Áradaptáció</w:t>
      </w:r>
      <w:bookmarkEnd w:id="97"/>
      <w:bookmarkEnd w:id="98"/>
      <w:bookmarkEnd w:id="99"/>
      <w:proofErr w:type="spellEnd"/>
    </w:p>
    <w:p w14:paraId="6C13AFFE"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vállalatok időről időre hozzáigazítják az árakat a változó piaci körülményekhez. A következőkben a leggyakrabban alkalmazott </w:t>
      </w:r>
      <w:proofErr w:type="spellStart"/>
      <w:r w:rsidRPr="00CB0A5E">
        <w:rPr>
          <w:rFonts w:ascii="Times New Roman" w:hAnsi="Times New Roman" w:cs="Times New Roman"/>
          <w:sz w:val="24"/>
          <w:szCs w:val="24"/>
        </w:rPr>
        <w:t>áradaptációs</w:t>
      </w:r>
      <w:proofErr w:type="spellEnd"/>
      <w:r w:rsidRPr="00CB0A5E">
        <w:rPr>
          <w:rFonts w:ascii="Times New Roman" w:hAnsi="Times New Roman" w:cs="Times New Roman"/>
          <w:sz w:val="24"/>
          <w:szCs w:val="24"/>
        </w:rPr>
        <w:t xml:space="preserve"> módszereket mutatjuk be. </w:t>
      </w:r>
    </w:p>
    <w:p w14:paraId="4A53A0C7"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Árengedmények és kedvezmények </w:t>
      </w:r>
      <w:r w:rsidRPr="00CB0A5E">
        <w:rPr>
          <w:rFonts w:ascii="Times New Roman" w:hAnsi="Times New Roman" w:cs="Times New Roman"/>
          <w:sz w:val="24"/>
          <w:szCs w:val="24"/>
        </w:rPr>
        <w:t>- Legtöbb vállalat alacsonyabb listaárat, árleszállítást, valamint árengedményt ad azoknak a vevőinek, amelyek hajlandók hamarabb fizetni, vagy nagy tételben vagy csúcsidőszakon kívül vásárolnak tőle.</w:t>
      </w:r>
    </w:p>
    <w:p w14:paraId="054BD5BA"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Szegmens alapú </w:t>
      </w:r>
      <w:proofErr w:type="spellStart"/>
      <w:r w:rsidRPr="00CB0A5E">
        <w:rPr>
          <w:rFonts w:ascii="Times New Roman" w:hAnsi="Times New Roman" w:cs="Times New Roman"/>
          <w:b/>
          <w:bCs/>
          <w:sz w:val="24"/>
          <w:szCs w:val="24"/>
        </w:rPr>
        <w:t>árképzés</w:t>
      </w:r>
      <w:proofErr w:type="spellEnd"/>
      <w:r w:rsidRPr="00CB0A5E">
        <w:rPr>
          <w:rFonts w:ascii="Times New Roman" w:hAnsi="Times New Roman" w:cs="Times New Roman"/>
          <w:b/>
          <w:bCs/>
          <w:sz w:val="24"/>
          <w:szCs w:val="24"/>
        </w:rPr>
        <w:t xml:space="preserve"> során valamilyen szegmentációs kritérium alapján szegmentálunk és az egyes szegmenseknek eltérő árat határozunk meg.  Fogyasztói </w:t>
      </w:r>
      <w:r w:rsidRPr="00CB0A5E">
        <w:rPr>
          <w:rFonts w:ascii="Times New Roman" w:hAnsi="Times New Roman" w:cs="Times New Roman"/>
          <w:b/>
          <w:bCs/>
          <w:sz w:val="24"/>
          <w:szCs w:val="24"/>
        </w:rPr>
        <w:lastRenderedPageBreak/>
        <w:t xml:space="preserve">szegmensek szerinti </w:t>
      </w:r>
      <w:proofErr w:type="spellStart"/>
      <w:r w:rsidRPr="00CB0A5E">
        <w:rPr>
          <w:rFonts w:ascii="Times New Roman" w:hAnsi="Times New Roman" w:cs="Times New Roman"/>
          <w:b/>
          <w:bCs/>
          <w:sz w:val="24"/>
          <w:szCs w:val="24"/>
        </w:rPr>
        <w:t>árképzés</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bCs/>
          <w:sz w:val="24"/>
          <w:szCs w:val="24"/>
        </w:rPr>
        <w:t>esetén a k</w:t>
      </w:r>
      <w:r w:rsidRPr="00CB0A5E">
        <w:rPr>
          <w:rFonts w:ascii="Times New Roman" w:hAnsi="Times New Roman" w:cs="Times New Roman"/>
          <w:sz w:val="24"/>
          <w:szCs w:val="24"/>
        </w:rPr>
        <w:t xml:space="preserve">ülönböző vásárlói csoportok különböző árakat fizetnek ugyanazért a termékért vagy szolgáltatásért. </w:t>
      </w:r>
      <w:r w:rsidRPr="00CB0A5E">
        <w:rPr>
          <w:rFonts w:ascii="Times New Roman" w:hAnsi="Times New Roman" w:cs="Times New Roman"/>
          <w:b/>
          <w:bCs/>
          <w:sz w:val="24"/>
          <w:szCs w:val="24"/>
        </w:rPr>
        <w:t xml:space="preserve">Termékváltozat szerinti árazás használatakor </w:t>
      </w:r>
      <w:r w:rsidRPr="00CB0A5E">
        <w:rPr>
          <w:rFonts w:ascii="Times New Roman" w:hAnsi="Times New Roman" w:cs="Times New Roman"/>
          <w:sz w:val="24"/>
          <w:szCs w:val="24"/>
        </w:rPr>
        <w:t xml:space="preserve">a különböző verziók ára eltérő. </w:t>
      </w:r>
      <w:r w:rsidRPr="00CB0A5E">
        <w:rPr>
          <w:rFonts w:ascii="Times New Roman" w:hAnsi="Times New Roman" w:cs="Times New Roman"/>
          <w:b/>
          <w:bCs/>
          <w:sz w:val="24"/>
          <w:szCs w:val="24"/>
        </w:rPr>
        <w:t xml:space="preserve">Csatorna szerinti </w:t>
      </w:r>
      <w:proofErr w:type="spellStart"/>
      <w:r w:rsidRPr="00CB0A5E">
        <w:rPr>
          <w:rFonts w:ascii="Times New Roman" w:hAnsi="Times New Roman" w:cs="Times New Roman"/>
          <w:b/>
          <w:bCs/>
          <w:sz w:val="24"/>
          <w:szCs w:val="24"/>
        </w:rPr>
        <w:t>árképzésnél</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 xml:space="preserve">a különböző eladási helyek eltérő árat határoznak meg. </w:t>
      </w:r>
      <w:r w:rsidRPr="00CB0A5E">
        <w:rPr>
          <w:rFonts w:ascii="Times New Roman" w:hAnsi="Times New Roman" w:cs="Times New Roman"/>
          <w:b/>
          <w:bCs/>
          <w:sz w:val="24"/>
          <w:szCs w:val="24"/>
        </w:rPr>
        <w:t xml:space="preserve">Idő alapú árazás </w:t>
      </w:r>
      <w:r w:rsidRPr="00CB0A5E">
        <w:rPr>
          <w:rFonts w:ascii="Times New Roman" w:hAnsi="Times New Roman" w:cs="Times New Roman"/>
          <w:bCs/>
          <w:sz w:val="24"/>
          <w:szCs w:val="24"/>
        </w:rPr>
        <w:t xml:space="preserve">során </w:t>
      </w:r>
      <w:r w:rsidRPr="00CB0A5E">
        <w:rPr>
          <w:rFonts w:ascii="Times New Roman" w:hAnsi="Times New Roman" w:cs="Times New Roman"/>
          <w:sz w:val="24"/>
          <w:szCs w:val="24"/>
        </w:rPr>
        <w:t>a vállalat a termék árát változtatja időszakokhoz köthetően (pl. hónap, napok, napszakok)</w:t>
      </w:r>
    </w:p>
    <w:p w14:paraId="4952F578"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 A pszichológiai </w:t>
      </w:r>
      <w:proofErr w:type="spellStart"/>
      <w:r w:rsidRPr="00CB0A5E">
        <w:rPr>
          <w:rFonts w:ascii="Times New Roman" w:hAnsi="Times New Roman" w:cs="Times New Roman"/>
          <w:b/>
          <w:bCs/>
          <w:sz w:val="24"/>
          <w:szCs w:val="24"/>
        </w:rPr>
        <w:t>árképzés</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 xml:space="preserve">– figyelembe veszi az árak pszichológiai hatását – sok fogyasztó az árat minőségjellemzőnek tekinti. Pl. 9-re végződő árak. </w:t>
      </w:r>
      <w:r w:rsidRPr="00CB0A5E">
        <w:rPr>
          <w:rFonts w:ascii="Times New Roman" w:hAnsi="Times New Roman" w:cs="Times New Roman"/>
          <w:b/>
          <w:bCs/>
          <w:sz w:val="24"/>
          <w:szCs w:val="24"/>
        </w:rPr>
        <w:t xml:space="preserve">A promóciós </w:t>
      </w:r>
      <w:proofErr w:type="spellStart"/>
      <w:r w:rsidRPr="00CB0A5E">
        <w:rPr>
          <w:rFonts w:ascii="Times New Roman" w:hAnsi="Times New Roman" w:cs="Times New Roman"/>
          <w:b/>
          <w:bCs/>
          <w:sz w:val="24"/>
          <w:szCs w:val="24"/>
        </w:rPr>
        <w:t>árképzést</w:t>
      </w:r>
      <w:proofErr w:type="spellEnd"/>
      <w:r w:rsidRPr="00CB0A5E">
        <w:rPr>
          <w:rFonts w:ascii="Times New Roman" w:hAnsi="Times New Roman" w:cs="Times New Roman"/>
          <w:b/>
          <w:bCs/>
          <w:sz w:val="24"/>
          <w:szCs w:val="24"/>
        </w:rPr>
        <w:t xml:space="preserve"> </w:t>
      </w:r>
      <w:r w:rsidRPr="00CB0A5E">
        <w:rPr>
          <w:rFonts w:ascii="Times New Roman" w:hAnsi="Times New Roman" w:cs="Times New Roman"/>
          <w:sz w:val="24"/>
          <w:szCs w:val="24"/>
        </w:rPr>
        <w:t xml:space="preserve">a termékek ideiglenes leárazása jellemzi, amelyek során az árak a listaár alatt vannak (néha még a költségek alatt is) azért, hogy növeljék rövidtávú értékesítést. Például: a veszteségvezető árazás, alkalmi ár, egyedi ár, jótállás és szolgáltatási szerződések, lélektani árengedmények. </w:t>
      </w:r>
      <w:r w:rsidRPr="00CB0A5E">
        <w:rPr>
          <w:rFonts w:ascii="Times New Roman" w:hAnsi="Times New Roman" w:cs="Times New Roman"/>
          <w:b/>
          <w:sz w:val="24"/>
          <w:szCs w:val="24"/>
        </w:rPr>
        <w:t xml:space="preserve">A földrajzi </w:t>
      </w:r>
      <w:proofErr w:type="spellStart"/>
      <w:r w:rsidRPr="00CB0A5E">
        <w:rPr>
          <w:rFonts w:ascii="Times New Roman" w:hAnsi="Times New Roman" w:cs="Times New Roman"/>
          <w:b/>
          <w:sz w:val="24"/>
          <w:szCs w:val="24"/>
        </w:rPr>
        <w:t>árképzés</w:t>
      </w:r>
      <w:proofErr w:type="spellEnd"/>
      <w:r w:rsidRPr="00CB0A5E">
        <w:rPr>
          <w:rFonts w:ascii="Times New Roman" w:hAnsi="Times New Roman" w:cs="Times New Roman"/>
          <w:b/>
          <w:sz w:val="24"/>
          <w:szCs w:val="24"/>
        </w:rPr>
        <w:t xml:space="preserve"> </w:t>
      </w:r>
      <w:r w:rsidRPr="00CB0A5E">
        <w:rPr>
          <w:rFonts w:ascii="Times New Roman" w:hAnsi="Times New Roman" w:cs="Times New Roman"/>
          <w:sz w:val="24"/>
          <w:szCs w:val="24"/>
        </w:rPr>
        <w:t xml:space="preserve">azt jelenti, hogy a vállalat annak alapján szabja meg az árait az egyes vevőknek, hogy azok milyen régiókban és országokban élnek. Az online vásárlásnál például dönthet úgy a vállalat, hogy a szállítási költségeket régiónként, </w:t>
      </w:r>
      <w:proofErr w:type="spellStart"/>
      <w:r w:rsidRPr="00CB0A5E">
        <w:rPr>
          <w:rFonts w:ascii="Times New Roman" w:hAnsi="Times New Roman" w:cs="Times New Roman"/>
          <w:sz w:val="24"/>
          <w:szCs w:val="24"/>
        </w:rPr>
        <w:t>zónánként</w:t>
      </w:r>
      <w:proofErr w:type="spellEnd"/>
      <w:r w:rsidRPr="00CB0A5E">
        <w:rPr>
          <w:rFonts w:ascii="Times New Roman" w:hAnsi="Times New Roman" w:cs="Times New Roman"/>
          <w:sz w:val="24"/>
          <w:szCs w:val="24"/>
        </w:rPr>
        <w:t xml:space="preserve"> vagy a központtól számított távolság arányában határozza meg. Vannak ugyanakkor cégek, aki minden vevőnek (távolságtól függetlenül) ugyanazt a szállítási árat használják.  A </w:t>
      </w:r>
      <w:r w:rsidRPr="00CB0A5E">
        <w:rPr>
          <w:rFonts w:ascii="Times New Roman" w:hAnsi="Times New Roman" w:cs="Times New Roman"/>
          <w:b/>
          <w:sz w:val="24"/>
          <w:szCs w:val="24"/>
        </w:rPr>
        <w:t>d</w:t>
      </w:r>
      <w:r w:rsidRPr="00CB0A5E">
        <w:rPr>
          <w:rFonts w:ascii="Times New Roman" w:hAnsi="Times New Roman" w:cs="Times New Roman"/>
          <w:b/>
          <w:bCs/>
          <w:sz w:val="24"/>
          <w:szCs w:val="24"/>
        </w:rPr>
        <w:t xml:space="preserve">inamikus árazás alkalmazásakor </w:t>
      </w:r>
      <w:r w:rsidRPr="00CB0A5E">
        <w:rPr>
          <w:rFonts w:ascii="Times New Roman" w:hAnsi="Times New Roman" w:cs="Times New Roman"/>
          <w:sz w:val="24"/>
          <w:szCs w:val="24"/>
        </w:rPr>
        <w:t xml:space="preserve">a vállalat folyamatosan hozzáigazítja az árakat a vevők jellemzői és igényei alapján. Szállodák, repülőgép társaságok gyakran használják ezt a módszert az árak kialakítására. </w:t>
      </w:r>
    </w:p>
    <w:p w14:paraId="0E9FDF94"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2650E238" w14:textId="77777777" w:rsidR="004D3317" w:rsidRPr="00062572" w:rsidRDefault="004D3317" w:rsidP="00EC10C5">
      <w:pPr>
        <w:pStyle w:val="Cmsor2"/>
        <w:numPr>
          <w:ilvl w:val="1"/>
          <w:numId w:val="8"/>
        </w:numPr>
        <w:spacing w:after="60" w:line="240" w:lineRule="auto"/>
        <w:ind w:left="0" w:firstLine="709"/>
        <w:rPr>
          <w:rFonts w:ascii="Times New Roman" w:hAnsi="Times New Roman" w:cs="Times New Roman"/>
          <w:b/>
          <w:sz w:val="24"/>
          <w:szCs w:val="24"/>
        </w:rPr>
      </w:pPr>
      <w:bookmarkStart w:id="100" w:name="_Toc18440847"/>
      <w:r w:rsidRPr="00062572">
        <w:rPr>
          <w:rFonts w:ascii="Times New Roman" w:hAnsi="Times New Roman" w:cs="Times New Roman"/>
          <w:b/>
          <w:sz w:val="24"/>
          <w:szCs w:val="24"/>
        </w:rPr>
        <w:t>Értékesítési politikai döntések és marketing-kommunikáció</w:t>
      </w:r>
      <w:bookmarkEnd w:id="100"/>
    </w:p>
    <w:p w14:paraId="080353B1" w14:textId="77777777" w:rsidR="004D3317" w:rsidRPr="00CB0A5E" w:rsidRDefault="004D3317" w:rsidP="00EC10C5">
      <w:pPr>
        <w:pStyle w:val="Stlus1"/>
      </w:pPr>
      <w:bookmarkStart w:id="101" w:name="_Toc18440848"/>
      <w:r w:rsidRPr="00CB0A5E">
        <w:t>Értékesítési politikai döntések</w:t>
      </w:r>
      <w:bookmarkEnd w:id="101"/>
    </w:p>
    <w:p w14:paraId="02AE5C82"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Értékesítési rendszeren</w:t>
      </w:r>
      <w:r w:rsidRPr="00CB0A5E">
        <w:rPr>
          <w:rFonts w:ascii="Times New Roman" w:hAnsi="Times New Roman" w:cs="Times New Roman"/>
          <w:sz w:val="24"/>
          <w:szCs w:val="24"/>
        </w:rPr>
        <w:t xml:space="preserve"> a terméknek a termelőtől a fogyasztóig vagy felhasználóig történő eljuttatását végző szervezeteket és az általuk ellátott funkciókat értjük. (Bauer, Berács, Kenesei, 2016.) Egy másik meghatározás szerint az üzleti szervezetek által előállított termékeket és szolgáltatásokat a </w:t>
      </w:r>
      <w:r w:rsidRPr="00CB0A5E">
        <w:rPr>
          <w:rStyle w:val="italic"/>
          <w:rFonts w:ascii="Times New Roman" w:hAnsi="Times New Roman" w:cs="Times New Roman"/>
          <w:b/>
          <w:sz w:val="24"/>
          <w:szCs w:val="24"/>
        </w:rPr>
        <w:t>disztribúciós (elosztási) rendszer</w:t>
      </w:r>
      <w:r w:rsidRPr="00CB0A5E">
        <w:rPr>
          <w:rFonts w:ascii="Times New Roman" w:hAnsi="Times New Roman" w:cs="Times New Roman"/>
          <w:sz w:val="24"/>
          <w:szCs w:val="24"/>
        </w:rPr>
        <w:t xml:space="preserve"> juttatja el a vevőkhöz. A termelővállalatok számára </w:t>
      </w:r>
      <w:r w:rsidRPr="00CB0A5E">
        <w:rPr>
          <w:rStyle w:val="italic"/>
          <w:rFonts w:ascii="Times New Roman" w:hAnsi="Times New Roman" w:cs="Times New Roman"/>
          <w:sz w:val="24"/>
          <w:szCs w:val="24"/>
        </w:rPr>
        <w:t>a disztribúciós rendszer kiválasztása</w:t>
      </w:r>
      <w:r w:rsidRPr="00CB0A5E">
        <w:rPr>
          <w:rFonts w:ascii="Times New Roman" w:hAnsi="Times New Roman" w:cs="Times New Roman"/>
          <w:sz w:val="24"/>
          <w:szCs w:val="24"/>
        </w:rPr>
        <w:t xml:space="preserve">, más esetekben </w:t>
      </w:r>
      <w:r w:rsidRPr="00CB0A5E">
        <w:rPr>
          <w:rStyle w:val="italic"/>
          <w:rFonts w:ascii="Times New Roman" w:hAnsi="Times New Roman" w:cs="Times New Roman"/>
          <w:sz w:val="24"/>
          <w:szCs w:val="24"/>
        </w:rPr>
        <w:t>kialakítása</w:t>
      </w:r>
      <w:r w:rsidRPr="00CB0A5E">
        <w:rPr>
          <w:rFonts w:ascii="Times New Roman" w:hAnsi="Times New Roman" w:cs="Times New Roman"/>
          <w:sz w:val="24"/>
          <w:szCs w:val="24"/>
        </w:rPr>
        <w:t xml:space="preserve"> és </w:t>
      </w:r>
      <w:r w:rsidRPr="00CB0A5E">
        <w:rPr>
          <w:rStyle w:val="italic"/>
          <w:rFonts w:ascii="Times New Roman" w:hAnsi="Times New Roman" w:cs="Times New Roman"/>
          <w:sz w:val="24"/>
          <w:szCs w:val="24"/>
        </w:rPr>
        <w:t>működtetése</w:t>
      </w:r>
      <w:r w:rsidRPr="00CB0A5E">
        <w:rPr>
          <w:rFonts w:ascii="Times New Roman" w:hAnsi="Times New Roman" w:cs="Times New Roman"/>
          <w:sz w:val="24"/>
          <w:szCs w:val="24"/>
        </w:rPr>
        <w:t xml:space="preserve"> a fontos, </w:t>
      </w:r>
      <w:r w:rsidRPr="00CB0A5E">
        <w:rPr>
          <w:rStyle w:val="italic"/>
          <w:rFonts w:ascii="Times New Roman" w:hAnsi="Times New Roman" w:cs="Times New Roman"/>
          <w:sz w:val="24"/>
          <w:szCs w:val="24"/>
        </w:rPr>
        <w:t>stratégiai jelentőségű</w:t>
      </w:r>
      <w:r w:rsidRPr="00CB0A5E">
        <w:rPr>
          <w:rFonts w:ascii="Times New Roman" w:hAnsi="Times New Roman" w:cs="Times New Roman"/>
          <w:sz w:val="24"/>
          <w:szCs w:val="24"/>
        </w:rPr>
        <w:t xml:space="preserve"> marketingdöntések közé tartoznak. Ennek egyik fő oka, hogy a disztribúciós tevékenységek főként </w:t>
      </w:r>
      <w:r w:rsidRPr="00CB0A5E">
        <w:rPr>
          <w:rStyle w:val="italic"/>
          <w:rFonts w:ascii="Times New Roman" w:hAnsi="Times New Roman" w:cs="Times New Roman"/>
          <w:sz w:val="24"/>
          <w:szCs w:val="24"/>
        </w:rPr>
        <w:t>a szervezetek (hosszú távú) együttműködésén alapulnak.</w:t>
      </w:r>
      <w:r w:rsidRPr="00CB0A5E">
        <w:rPr>
          <w:rFonts w:ascii="Times New Roman" w:hAnsi="Times New Roman" w:cs="Times New Roman"/>
          <w:sz w:val="24"/>
          <w:szCs w:val="24"/>
        </w:rPr>
        <w:t xml:space="preserve"> (Rekettye, Törőcsik, Hetesi, 2015)</w:t>
      </w:r>
    </w:p>
    <w:p w14:paraId="761FAB55" w14:textId="77777777" w:rsidR="004D3317" w:rsidRPr="00CB0A5E" w:rsidRDefault="004D3317" w:rsidP="00EC10C5">
      <w:pPr>
        <w:spacing w:after="60" w:line="240" w:lineRule="auto"/>
        <w:ind w:firstLine="709"/>
        <w:jc w:val="both"/>
        <w:rPr>
          <w:rFonts w:ascii="Times New Roman" w:hAnsi="Times New Roman" w:cs="Times New Roman"/>
          <w:sz w:val="24"/>
          <w:szCs w:val="24"/>
        </w:rPr>
      </w:pPr>
      <w:proofErr w:type="spellStart"/>
      <w:r w:rsidRPr="00CB0A5E">
        <w:rPr>
          <w:rFonts w:ascii="Times New Roman" w:hAnsi="Times New Roman" w:cs="Times New Roman"/>
          <w:sz w:val="24"/>
          <w:szCs w:val="24"/>
        </w:rPr>
        <w:t>Kotler</w:t>
      </w:r>
      <w:proofErr w:type="spellEnd"/>
      <w:r w:rsidRPr="00CB0A5E">
        <w:rPr>
          <w:rFonts w:ascii="Times New Roman" w:hAnsi="Times New Roman" w:cs="Times New Roman"/>
          <w:sz w:val="24"/>
          <w:szCs w:val="24"/>
        </w:rPr>
        <w:t xml:space="preserve"> és </w:t>
      </w:r>
      <w:proofErr w:type="spellStart"/>
      <w:r w:rsidRPr="00CB0A5E">
        <w:rPr>
          <w:rFonts w:ascii="Times New Roman" w:hAnsi="Times New Roman" w:cs="Times New Roman"/>
          <w:sz w:val="24"/>
          <w:szCs w:val="24"/>
        </w:rPr>
        <w:t>Amstrong</w:t>
      </w:r>
      <w:proofErr w:type="spellEnd"/>
      <w:r w:rsidRPr="00CB0A5E">
        <w:rPr>
          <w:rFonts w:ascii="Times New Roman" w:hAnsi="Times New Roman" w:cs="Times New Roman"/>
          <w:sz w:val="24"/>
          <w:szCs w:val="24"/>
        </w:rPr>
        <w:t xml:space="preserve"> (2017) úgy határozza meg az értékesítési csatornát, mint olyan egymástól </w:t>
      </w:r>
      <w:r w:rsidRPr="00CB0A5E">
        <w:rPr>
          <w:rFonts w:ascii="Times New Roman" w:hAnsi="Times New Roman" w:cs="Times New Roman"/>
          <w:b/>
          <w:sz w:val="24"/>
          <w:szCs w:val="24"/>
        </w:rPr>
        <w:t xml:space="preserve">független szervezetek halmaza, amelyek segítik a termék vagy szolgáltatás eljuttatását a fogyasztóhoz vagy üzleti vevőhöz. </w:t>
      </w:r>
      <w:r w:rsidRPr="00CB0A5E">
        <w:rPr>
          <w:rFonts w:ascii="Times New Roman" w:hAnsi="Times New Roman" w:cs="Times New Roman"/>
          <w:sz w:val="24"/>
          <w:szCs w:val="24"/>
        </w:rPr>
        <w:t>Egy másik meghatározás szerint az értékesítési</w:t>
      </w:r>
      <w:r w:rsidRPr="00CB0A5E">
        <w:rPr>
          <w:rFonts w:ascii="Times New Roman" w:hAnsi="Times New Roman" w:cs="Times New Roman"/>
          <w:b/>
          <w:sz w:val="24"/>
          <w:szCs w:val="24"/>
        </w:rPr>
        <w:t xml:space="preserve"> </w:t>
      </w:r>
      <w:r w:rsidRPr="00CB0A5E">
        <w:rPr>
          <w:rFonts w:ascii="Times New Roman" w:hAnsi="Times New Roman" w:cs="Times New Roman"/>
          <w:sz w:val="24"/>
          <w:szCs w:val="24"/>
        </w:rPr>
        <w:t xml:space="preserve">csatorna (marketingcsatorna) azoknak a szervezeteknek az összessége, amelyek együttműködése biztosítja, hogy a termékek és szolgáltatások eljussanak az előállítás helyszínéről a vásárlás vagy a fogyasztás helyszínére (Rekettye, Törőcsik, Hetesi, 2015). Az értékesítési csatorna könnyebbé teszik a vevők számára a vásárlást. A közvetítők teszik lehetővé, hogy a vevőnek ne kelljen minden gyártóval külön-külön kapcsolatba kerülnie. </w:t>
      </w:r>
    </w:p>
    <w:p w14:paraId="37FCE05B"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 marketingcsatorna szereplői:</w:t>
      </w:r>
      <w:r w:rsidRPr="00CB0A5E">
        <w:rPr>
          <w:rFonts w:ascii="Times New Roman" w:hAnsi="Times New Roman" w:cs="Times New Roman"/>
          <w:sz w:val="24"/>
          <w:szCs w:val="24"/>
        </w:rPr>
        <w:t xml:space="preserve"> a gyártók (termelők) és a végfelhasználók (vevők, üzleti vevő) között közvetítő viszonteladók (</w:t>
      </w:r>
      <w:proofErr w:type="spellStart"/>
      <w:r w:rsidRPr="00CB0A5E">
        <w:rPr>
          <w:rFonts w:ascii="Times New Roman" w:hAnsi="Times New Roman" w:cs="Times New Roman"/>
          <w:sz w:val="24"/>
          <w:szCs w:val="24"/>
        </w:rPr>
        <w:t>disztibútorok</w:t>
      </w:r>
      <w:proofErr w:type="spellEnd"/>
      <w:r w:rsidRPr="00CB0A5E">
        <w:rPr>
          <w:rFonts w:ascii="Times New Roman" w:hAnsi="Times New Roman" w:cs="Times New Roman"/>
          <w:sz w:val="24"/>
          <w:szCs w:val="24"/>
        </w:rPr>
        <w:t>, kiskereskedők, nagykereskedők).</w:t>
      </w:r>
    </w:p>
    <w:p w14:paraId="7B37D301" w14:textId="02F0AE37" w:rsidR="0001325B"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Annak alapján, hogy hány közvetítőn keresztül jut el a termék a végfelhasználóhoz megkülönböztetünk direkt csatornákat és indirekt csatornákat. A direkt csatornák esetében a termelő közvetlenül a vevőnek adja el termékeit, míg az indirekt csatornáknál egy vagy több közvetítőn keresztül </w:t>
      </w:r>
      <w:r w:rsidRPr="0001325B">
        <w:rPr>
          <w:rFonts w:ascii="Times New Roman" w:hAnsi="Times New Roman" w:cs="Times New Roman"/>
          <w:sz w:val="24"/>
          <w:szCs w:val="24"/>
          <w:highlight w:val="yellow"/>
        </w:rPr>
        <w:t>(</w:t>
      </w:r>
      <w:r w:rsidRPr="0001325B">
        <w:rPr>
          <w:rFonts w:ascii="Times New Roman" w:hAnsi="Times New Roman" w:cs="Times New Roman"/>
          <w:sz w:val="24"/>
          <w:szCs w:val="24"/>
          <w:highlight w:val="yellow"/>
        </w:rPr>
        <w:fldChar w:fldCharType="begin"/>
      </w:r>
      <w:r w:rsidRPr="0001325B">
        <w:rPr>
          <w:rFonts w:ascii="Times New Roman" w:hAnsi="Times New Roman" w:cs="Times New Roman"/>
          <w:sz w:val="24"/>
          <w:szCs w:val="24"/>
          <w:highlight w:val="yellow"/>
        </w:rPr>
        <w:instrText xml:space="preserve"> REF _Ref1566578 \h  \* MERGEFORMAT </w:instrText>
      </w:r>
      <w:r w:rsidRPr="0001325B">
        <w:rPr>
          <w:rFonts w:ascii="Times New Roman" w:hAnsi="Times New Roman" w:cs="Times New Roman"/>
          <w:sz w:val="24"/>
          <w:szCs w:val="24"/>
          <w:highlight w:val="yellow"/>
        </w:rPr>
      </w:r>
      <w:r w:rsidRPr="0001325B">
        <w:rPr>
          <w:rFonts w:ascii="Times New Roman" w:hAnsi="Times New Roman" w:cs="Times New Roman"/>
          <w:sz w:val="24"/>
          <w:szCs w:val="24"/>
          <w:highlight w:val="yellow"/>
        </w:rPr>
        <w:fldChar w:fldCharType="separate"/>
      </w:r>
      <w:r w:rsidR="006C213D" w:rsidRPr="006C213D">
        <w:rPr>
          <w:rFonts w:ascii="Times New Roman" w:hAnsi="Times New Roman" w:cs="Times New Roman"/>
          <w:noProof/>
          <w:sz w:val="24"/>
          <w:szCs w:val="24"/>
          <w:highlight w:val="yellow"/>
        </w:rPr>
        <w:t>19</w:t>
      </w:r>
      <w:r w:rsidR="006C213D" w:rsidRPr="006C213D">
        <w:rPr>
          <w:rFonts w:ascii="Times New Roman" w:hAnsi="Times New Roman" w:cs="Times New Roman"/>
          <w:sz w:val="24"/>
          <w:szCs w:val="24"/>
          <w:highlight w:val="yellow"/>
        </w:rPr>
        <w:t>. ábra</w:t>
      </w:r>
      <w:r w:rsidRPr="0001325B">
        <w:rPr>
          <w:rFonts w:ascii="Times New Roman" w:hAnsi="Times New Roman" w:cs="Times New Roman"/>
          <w:sz w:val="24"/>
          <w:szCs w:val="24"/>
          <w:highlight w:val="yellow"/>
        </w:rPr>
        <w:fldChar w:fldCharType="end"/>
      </w:r>
      <w:r w:rsidRPr="0001325B">
        <w:rPr>
          <w:rFonts w:ascii="Times New Roman" w:hAnsi="Times New Roman" w:cs="Times New Roman"/>
          <w:sz w:val="24"/>
          <w:szCs w:val="24"/>
          <w:highlight w:val="yellow"/>
        </w:rPr>
        <w:t>.)</w:t>
      </w:r>
    </w:p>
    <w:p w14:paraId="27A6C64D" w14:textId="77777777" w:rsidR="0001325B" w:rsidRDefault="0001325B" w:rsidP="00EC10C5">
      <w:pPr>
        <w:spacing w:after="60" w:line="240" w:lineRule="auto"/>
        <w:ind w:firstLine="709"/>
        <w:jc w:val="both"/>
        <w:rPr>
          <w:rFonts w:ascii="Times New Roman" w:hAnsi="Times New Roman" w:cs="Times New Roman"/>
          <w:sz w:val="24"/>
          <w:szCs w:val="24"/>
        </w:rPr>
      </w:pPr>
    </w:p>
    <w:p w14:paraId="4412320B" w14:textId="77777777" w:rsidR="0001325B" w:rsidRDefault="0001325B" w:rsidP="00EC10C5">
      <w:pPr>
        <w:spacing w:after="60" w:line="240" w:lineRule="auto"/>
        <w:ind w:firstLine="709"/>
        <w:jc w:val="both"/>
        <w:rPr>
          <w:rFonts w:ascii="Times New Roman" w:hAnsi="Times New Roman" w:cs="Times New Roman"/>
          <w:sz w:val="24"/>
          <w:szCs w:val="24"/>
        </w:rPr>
      </w:pPr>
    </w:p>
    <w:p w14:paraId="0916A112"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 </w:t>
      </w:r>
    </w:p>
    <w:p w14:paraId="442DF78C"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327E7EB1" w14:textId="77777777" w:rsidR="004D3317" w:rsidRPr="0001325B" w:rsidRDefault="002317A2" w:rsidP="00EC10C5">
      <w:pPr>
        <w:pStyle w:val="Kpalrs"/>
        <w:spacing w:after="60"/>
        <w:ind w:firstLine="709"/>
        <w:jc w:val="center"/>
        <w:rPr>
          <w:rFonts w:ascii="Times New Roman" w:hAnsi="Times New Roman" w:cs="Times New Roman"/>
          <w:b/>
          <w:i w:val="0"/>
          <w:color w:val="000000" w:themeColor="text1"/>
          <w:sz w:val="24"/>
          <w:szCs w:val="24"/>
        </w:rPr>
      </w:pPr>
      <w:bookmarkStart w:id="102" w:name="_Ref1566578"/>
      <w:r w:rsidRPr="0001325B">
        <w:rPr>
          <w:rFonts w:ascii="Times New Roman" w:hAnsi="Times New Roman" w:cs="Times New Roman"/>
          <w:b/>
          <w:i w:val="0"/>
          <w:color w:val="000000" w:themeColor="text1"/>
          <w:sz w:val="24"/>
          <w:szCs w:val="24"/>
        </w:rPr>
        <w:lastRenderedPageBreak/>
        <w:t>19</w:t>
      </w:r>
      <w:r w:rsidR="004D3317" w:rsidRPr="0001325B">
        <w:rPr>
          <w:rFonts w:ascii="Times New Roman" w:hAnsi="Times New Roman" w:cs="Times New Roman"/>
          <w:b/>
          <w:i w:val="0"/>
          <w:color w:val="000000" w:themeColor="text1"/>
          <w:sz w:val="24"/>
          <w:szCs w:val="24"/>
        </w:rPr>
        <w:t>. ábra</w:t>
      </w:r>
      <w:bookmarkEnd w:id="102"/>
      <w:r w:rsidR="004D3317" w:rsidRPr="0001325B">
        <w:rPr>
          <w:rFonts w:ascii="Times New Roman" w:hAnsi="Times New Roman" w:cs="Times New Roman"/>
          <w:b/>
          <w:i w:val="0"/>
          <w:color w:val="000000" w:themeColor="text1"/>
          <w:sz w:val="24"/>
          <w:szCs w:val="24"/>
        </w:rPr>
        <w:t xml:space="preserve"> Értékesítési utak (marketingcsatornák) a fogyasztói és üzleti piacon</w:t>
      </w:r>
    </w:p>
    <w:p w14:paraId="39CF150F"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noProof/>
          <w:sz w:val="24"/>
          <w:szCs w:val="24"/>
          <w:lang w:eastAsia="hu-HU"/>
        </w:rPr>
        <w:drawing>
          <wp:inline distT="0" distB="0" distL="0" distR="0" wp14:anchorId="282AB441" wp14:editId="3F3A8786">
            <wp:extent cx="5760000" cy="2347200"/>
            <wp:effectExtent l="0" t="0" r="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00" cy="2347200"/>
                    </a:xfrm>
                    <a:prstGeom prst="rect">
                      <a:avLst/>
                    </a:prstGeom>
                    <a:noFill/>
                  </pic:spPr>
                </pic:pic>
              </a:graphicData>
            </a:graphic>
          </wp:inline>
        </w:drawing>
      </w:r>
    </w:p>
    <w:p w14:paraId="5867A23C" w14:textId="77777777" w:rsidR="004D3317" w:rsidRPr="00CB0A5E" w:rsidRDefault="004D3317" w:rsidP="00EC10C5">
      <w:pPr>
        <w:spacing w:after="60" w:line="240" w:lineRule="auto"/>
        <w:ind w:firstLine="709"/>
        <w:jc w:val="both"/>
        <w:rPr>
          <w:rFonts w:ascii="Times New Roman" w:hAnsi="Times New Roman" w:cs="Times New Roman"/>
          <w:i/>
          <w:sz w:val="24"/>
          <w:szCs w:val="24"/>
        </w:rPr>
      </w:pPr>
    </w:p>
    <w:p w14:paraId="1AC7C412" w14:textId="77777777" w:rsidR="004D3317" w:rsidRPr="00CB0A5E" w:rsidRDefault="004D3317" w:rsidP="00EC10C5">
      <w:pPr>
        <w:spacing w:after="60" w:line="240" w:lineRule="auto"/>
        <w:ind w:firstLine="709"/>
        <w:jc w:val="both"/>
        <w:rPr>
          <w:rFonts w:ascii="Times New Roman" w:hAnsi="Times New Roman" w:cs="Times New Roman"/>
          <w:i/>
          <w:sz w:val="24"/>
          <w:szCs w:val="24"/>
        </w:rPr>
      </w:pPr>
      <w:r w:rsidRPr="00CB0A5E">
        <w:rPr>
          <w:rFonts w:ascii="Times New Roman" w:hAnsi="Times New Roman" w:cs="Times New Roman"/>
          <w:i/>
          <w:sz w:val="24"/>
          <w:szCs w:val="24"/>
        </w:rPr>
        <w:t xml:space="preserve">Forrás: </w:t>
      </w:r>
      <w:proofErr w:type="spellStart"/>
      <w:r w:rsidRPr="00CB0A5E">
        <w:rPr>
          <w:rFonts w:ascii="Times New Roman" w:hAnsi="Times New Roman" w:cs="Times New Roman"/>
          <w:i/>
          <w:sz w:val="24"/>
          <w:szCs w:val="24"/>
        </w:rPr>
        <w:t>Kotler-Amstrong</w:t>
      </w:r>
      <w:proofErr w:type="spellEnd"/>
      <w:r w:rsidRPr="00CB0A5E">
        <w:rPr>
          <w:rFonts w:ascii="Times New Roman" w:hAnsi="Times New Roman" w:cs="Times New Roman"/>
          <w:i/>
          <w:sz w:val="24"/>
          <w:szCs w:val="24"/>
        </w:rPr>
        <w:t xml:space="preserve"> (2017)</w:t>
      </w:r>
    </w:p>
    <w:p w14:paraId="7CB9AC12"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7A0B1DF4" w14:textId="77777777" w:rsidR="004D3317" w:rsidRPr="00CB0A5E" w:rsidRDefault="004D3317" w:rsidP="00EC10C5">
      <w:pPr>
        <w:spacing w:after="60" w:line="240" w:lineRule="auto"/>
        <w:ind w:firstLine="709"/>
        <w:jc w:val="both"/>
        <w:rPr>
          <w:rFonts w:ascii="Times New Roman" w:eastAsia="Times New Roman" w:hAnsi="Times New Roman" w:cs="Times New Roman"/>
          <w:sz w:val="24"/>
          <w:szCs w:val="24"/>
          <w:lang w:eastAsia="hu-HU"/>
        </w:rPr>
      </w:pPr>
      <w:r w:rsidRPr="00CB0A5E">
        <w:rPr>
          <w:rFonts w:ascii="Times New Roman" w:hAnsi="Times New Roman" w:cs="Times New Roman"/>
          <w:b/>
          <w:sz w:val="24"/>
          <w:szCs w:val="24"/>
        </w:rPr>
        <w:t xml:space="preserve">Értékesítési lánc </w:t>
      </w:r>
      <w:r w:rsidRPr="00CB0A5E">
        <w:rPr>
          <w:rFonts w:ascii="Times New Roman" w:hAnsi="Times New Roman" w:cs="Times New Roman"/>
          <w:sz w:val="24"/>
          <w:szCs w:val="24"/>
        </w:rPr>
        <w:t xml:space="preserve">(út, hálózat) alatt azt az utat értjük, amelyet egy-egy termék megtesz a termeléstől a végfelhasználóig. </w:t>
      </w:r>
      <w:r w:rsidRPr="00CB0A5E">
        <w:rPr>
          <w:rFonts w:ascii="Times New Roman" w:eastAsia="Times New Roman" w:hAnsi="Times New Roman" w:cs="Times New Roman"/>
          <w:sz w:val="24"/>
          <w:szCs w:val="24"/>
          <w:lang w:eastAsia="hu-HU"/>
        </w:rPr>
        <w:t xml:space="preserve">Ellátási lánc három vagy több szervezet együttműködéséből jön létre, akik közvetlenül részt vesznek a termékek és szolgáltatások alulról vagy </w:t>
      </w:r>
      <w:proofErr w:type="spellStart"/>
      <w:r w:rsidRPr="00CB0A5E">
        <w:rPr>
          <w:rFonts w:ascii="Times New Roman" w:eastAsia="Times New Roman" w:hAnsi="Times New Roman" w:cs="Times New Roman"/>
          <w:sz w:val="24"/>
          <w:szCs w:val="24"/>
          <w:lang w:eastAsia="hu-HU"/>
        </w:rPr>
        <w:t>felülről</w:t>
      </w:r>
      <w:proofErr w:type="spellEnd"/>
      <w:r w:rsidRPr="00CB0A5E">
        <w:rPr>
          <w:rFonts w:ascii="Times New Roman" w:eastAsia="Times New Roman" w:hAnsi="Times New Roman" w:cs="Times New Roman"/>
          <w:sz w:val="24"/>
          <w:szCs w:val="24"/>
          <w:lang w:eastAsia="hu-HU"/>
        </w:rPr>
        <w:t xml:space="preserve"> irányított áramlásában az eladótól a </w:t>
      </w:r>
      <w:proofErr w:type="gramStart"/>
      <w:r w:rsidRPr="00CB0A5E">
        <w:rPr>
          <w:rFonts w:ascii="Times New Roman" w:eastAsia="Times New Roman" w:hAnsi="Times New Roman" w:cs="Times New Roman"/>
          <w:sz w:val="24"/>
          <w:szCs w:val="24"/>
          <w:lang w:eastAsia="hu-HU"/>
        </w:rPr>
        <w:t>vevőig.(</w:t>
      </w:r>
      <w:proofErr w:type="gramEnd"/>
      <w:r w:rsidRPr="00CB0A5E">
        <w:rPr>
          <w:rFonts w:ascii="Times New Roman" w:hAnsi="Times New Roman" w:cs="Times New Roman"/>
          <w:sz w:val="24"/>
          <w:szCs w:val="24"/>
        </w:rPr>
        <w:t>Bauer, Berács, Kenesei, 2016)</w:t>
      </w:r>
    </w:p>
    <w:p w14:paraId="17891DBE"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Az értékesítési rendszer legfontosabb funkciói:</w:t>
      </w:r>
    </w:p>
    <w:p w14:paraId="0246BE7F"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1. Szállítás:</w:t>
      </w:r>
      <w:r w:rsidRPr="00CB0A5E">
        <w:rPr>
          <w:rFonts w:ascii="Times New Roman" w:hAnsi="Times New Roman" w:cs="Times New Roman"/>
          <w:sz w:val="24"/>
          <w:szCs w:val="24"/>
        </w:rPr>
        <w:t xml:space="preserve"> Minden ahhoz szükséges tevékenység, hogy a termék eljusson a termelés helyéről a fogyasztás helyére.</w:t>
      </w:r>
    </w:p>
    <w:p w14:paraId="6F06B1A6"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2. Kiszerelés:</w:t>
      </w:r>
      <w:r w:rsidRPr="00CB0A5E">
        <w:rPr>
          <w:rFonts w:ascii="Times New Roman" w:hAnsi="Times New Roman" w:cs="Times New Roman"/>
          <w:sz w:val="24"/>
          <w:szCs w:val="24"/>
        </w:rPr>
        <w:t xml:space="preserve"> Minden tevékenység, amely a termékek gyártási mennyiségét átalakítja a fogyasztók számára megfelelő adagokká és kiszerelésekké. </w:t>
      </w:r>
    </w:p>
    <w:p w14:paraId="6EDA3141"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3. Raktározás:</w:t>
      </w:r>
      <w:r w:rsidRPr="00CB0A5E">
        <w:rPr>
          <w:rFonts w:ascii="Times New Roman" w:hAnsi="Times New Roman" w:cs="Times New Roman"/>
          <w:sz w:val="24"/>
          <w:szCs w:val="24"/>
        </w:rPr>
        <w:t xml:space="preserve"> Minden olyan tevékenység, amely kapcsolatot teremt a gyártás ideje és a fogyasztás ideje között és megkíméli a termelőt attól, hogy a saját telephelyén tárolja a készárut.</w:t>
      </w:r>
    </w:p>
    <w:p w14:paraId="43A0766F"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4. Választék kialakítás:</w:t>
      </w:r>
      <w:r w:rsidRPr="00CB0A5E">
        <w:rPr>
          <w:rFonts w:ascii="Times New Roman" w:hAnsi="Times New Roman" w:cs="Times New Roman"/>
          <w:sz w:val="24"/>
          <w:szCs w:val="24"/>
        </w:rPr>
        <w:t xml:space="preserve"> Minden olyan tevékenység, amely </w:t>
      </w:r>
      <w:proofErr w:type="gramStart"/>
      <w:r w:rsidRPr="00CB0A5E">
        <w:rPr>
          <w:rFonts w:ascii="Times New Roman" w:hAnsi="Times New Roman" w:cs="Times New Roman"/>
          <w:sz w:val="24"/>
          <w:szCs w:val="24"/>
        </w:rPr>
        <w:t>a vásárlási, vagy felhasználási körülményeknek megfelelő termék,</w:t>
      </w:r>
      <w:proofErr w:type="gramEnd"/>
      <w:r w:rsidRPr="00CB0A5E">
        <w:rPr>
          <w:rFonts w:ascii="Times New Roman" w:hAnsi="Times New Roman" w:cs="Times New Roman"/>
          <w:sz w:val="24"/>
          <w:szCs w:val="24"/>
        </w:rPr>
        <w:t xml:space="preserve"> vagy szolgáltatás választék összességet biztosít.</w:t>
      </w:r>
    </w:p>
    <w:p w14:paraId="7DEC68D9"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5. Kapcsolat:</w:t>
      </w:r>
      <w:r w:rsidRPr="00CB0A5E">
        <w:rPr>
          <w:rFonts w:ascii="Times New Roman" w:hAnsi="Times New Roman" w:cs="Times New Roman"/>
          <w:sz w:val="24"/>
          <w:szCs w:val="24"/>
        </w:rPr>
        <w:t xml:space="preserve"> Minden tevékenység, amely a nagyszámú és szétszórt vásárlóközönség elérését szolgálja.</w:t>
      </w:r>
    </w:p>
    <w:p w14:paraId="717F3594"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6. Tájékoztatás:</w:t>
      </w:r>
      <w:r w:rsidRPr="00CB0A5E">
        <w:rPr>
          <w:rFonts w:ascii="Times New Roman" w:hAnsi="Times New Roman" w:cs="Times New Roman"/>
          <w:sz w:val="24"/>
          <w:szCs w:val="24"/>
        </w:rPr>
        <w:t xml:space="preserve"> Minden olyan tevékenység, amely lehetővé teszi a szükségletek és az értékesítési feltételek jobb megismerését. </w:t>
      </w:r>
    </w:p>
    <w:p w14:paraId="38376C92" w14:textId="77777777" w:rsidR="004D3317"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7. Támogatás:</w:t>
      </w:r>
      <w:r w:rsidRPr="00CB0A5E">
        <w:rPr>
          <w:rFonts w:ascii="Times New Roman" w:hAnsi="Times New Roman" w:cs="Times New Roman"/>
          <w:sz w:val="24"/>
          <w:szCs w:val="24"/>
        </w:rPr>
        <w:t xml:space="preserve"> Az értékesítés helyén végzett reklám és vásárlás ösztönzési (promóciós) tevékenység.</w:t>
      </w:r>
    </w:p>
    <w:p w14:paraId="414CF5FB" w14:textId="77777777" w:rsidR="0001325B" w:rsidRPr="00CB0A5E" w:rsidRDefault="0001325B" w:rsidP="00EC10C5">
      <w:pPr>
        <w:spacing w:after="60" w:line="240" w:lineRule="auto"/>
        <w:ind w:firstLine="709"/>
        <w:jc w:val="both"/>
        <w:rPr>
          <w:rFonts w:ascii="Times New Roman" w:hAnsi="Times New Roman" w:cs="Times New Roman"/>
          <w:sz w:val="24"/>
          <w:szCs w:val="24"/>
        </w:rPr>
      </w:pPr>
    </w:p>
    <w:p w14:paraId="408568F6" w14:textId="77777777" w:rsidR="004D3317" w:rsidRPr="00CB0A5E" w:rsidRDefault="004D3317" w:rsidP="00EC10C5">
      <w:pPr>
        <w:pStyle w:val="Stlus1"/>
      </w:pPr>
      <w:r w:rsidRPr="00CB0A5E">
        <w:t>A gyártó és a közvetítő szerepe az értékesítésben</w:t>
      </w:r>
    </w:p>
    <w:p w14:paraId="591889D8"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A </w:t>
      </w:r>
      <w:proofErr w:type="spellStart"/>
      <w:r w:rsidRPr="00CB0A5E">
        <w:rPr>
          <w:rFonts w:ascii="Times New Roman" w:hAnsi="Times New Roman" w:cs="Times New Roman"/>
          <w:b/>
          <w:sz w:val="24"/>
          <w:szCs w:val="24"/>
        </w:rPr>
        <w:t>push</w:t>
      </w:r>
      <w:proofErr w:type="spellEnd"/>
      <w:r w:rsidRPr="00CB0A5E">
        <w:rPr>
          <w:rFonts w:ascii="Times New Roman" w:hAnsi="Times New Roman" w:cs="Times New Roman"/>
          <w:b/>
          <w:sz w:val="24"/>
          <w:szCs w:val="24"/>
        </w:rPr>
        <w:t xml:space="preserve"> (toló)</w:t>
      </w:r>
      <w:r w:rsidRPr="00CB0A5E">
        <w:rPr>
          <w:rFonts w:ascii="Times New Roman" w:hAnsi="Times New Roman" w:cs="Times New Roman"/>
          <w:sz w:val="24"/>
          <w:szCs w:val="24"/>
        </w:rPr>
        <w:t xml:space="preserve"> stratégia azt jelenti, hogy a gyártó értékesítőszemélyzetével és értékesítésösztönző kiadásaival és más eszközökkel a közvetítőket arra motiválja, hogy forgalmazzák a terméket, és előmozdítsák annak eladását a fogyasztóknak. </w:t>
      </w:r>
    </w:p>
    <w:p w14:paraId="1D6D1390"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A </w:t>
      </w:r>
      <w:proofErr w:type="spellStart"/>
      <w:r w:rsidRPr="00CB0A5E">
        <w:rPr>
          <w:rFonts w:ascii="Times New Roman" w:hAnsi="Times New Roman" w:cs="Times New Roman"/>
          <w:b/>
          <w:sz w:val="24"/>
          <w:szCs w:val="24"/>
        </w:rPr>
        <w:t>pull</w:t>
      </w:r>
      <w:proofErr w:type="spellEnd"/>
      <w:r w:rsidRPr="00CB0A5E">
        <w:rPr>
          <w:rFonts w:ascii="Times New Roman" w:hAnsi="Times New Roman" w:cs="Times New Roman"/>
          <w:b/>
          <w:sz w:val="24"/>
          <w:szCs w:val="24"/>
        </w:rPr>
        <w:t xml:space="preserve"> (húzó) stratégia</w:t>
      </w:r>
      <w:r w:rsidRPr="00CB0A5E">
        <w:rPr>
          <w:rFonts w:ascii="Times New Roman" w:hAnsi="Times New Roman" w:cs="Times New Roman"/>
          <w:sz w:val="24"/>
          <w:szCs w:val="24"/>
        </w:rPr>
        <w:t xml:space="preserve"> - amikor a gyártó reklámokkal és promócióval igyekszik rávenni a fogyasztókat arra, hogy keressék a terméket a közvetítőknél, s így kényszerítse ki annak megrendelését (Keller- </w:t>
      </w:r>
      <w:proofErr w:type="spellStart"/>
      <w:r w:rsidRPr="00CB0A5E">
        <w:rPr>
          <w:rFonts w:ascii="Times New Roman" w:hAnsi="Times New Roman" w:cs="Times New Roman"/>
          <w:sz w:val="24"/>
          <w:szCs w:val="24"/>
        </w:rPr>
        <w:t>Kotler</w:t>
      </w:r>
      <w:proofErr w:type="spellEnd"/>
      <w:r w:rsidRPr="00CB0A5E">
        <w:rPr>
          <w:rFonts w:ascii="Times New Roman" w:hAnsi="Times New Roman" w:cs="Times New Roman"/>
          <w:sz w:val="24"/>
          <w:szCs w:val="24"/>
        </w:rPr>
        <w:t>, 2012).</w:t>
      </w:r>
    </w:p>
    <w:p w14:paraId="7C944AF5"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600C9C6D" w14:textId="77777777" w:rsidR="004D3317" w:rsidRPr="00CB0A5E" w:rsidRDefault="004D3317" w:rsidP="00EC10C5">
      <w:pPr>
        <w:pStyle w:val="Stlus1"/>
      </w:pPr>
      <w:bookmarkStart w:id="103" w:name="_Toc1568884"/>
      <w:bookmarkStart w:id="104" w:name="_Toc18420891"/>
      <w:bookmarkStart w:id="105" w:name="_Toc18440849"/>
      <w:r w:rsidRPr="00CB0A5E">
        <w:t>Marketingkommunikáció</w:t>
      </w:r>
      <w:bookmarkEnd w:id="103"/>
      <w:bookmarkEnd w:id="104"/>
      <w:bookmarkEnd w:id="105"/>
    </w:p>
    <w:p w14:paraId="5ED9F283" w14:textId="77777777" w:rsidR="004D3317" w:rsidRPr="001454FD" w:rsidRDefault="004D3317" w:rsidP="00EC10C5">
      <w:pPr>
        <w:rPr>
          <w:rFonts w:ascii="Times New Roman" w:hAnsi="Times New Roman" w:cs="Times New Roman"/>
          <w:i/>
          <w:sz w:val="24"/>
          <w:szCs w:val="24"/>
        </w:rPr>
      </w:pPr>
      <w:bookmarkStart w:id="106" w:name="_Toc1568885"/>
      <w:bookmarkStart w:id="107" w:name="_Toc18420892"/>
      <w:r w:rsidRPr="001454FD">
        <w:rPr>
          <w:rFonts w:ascii="Times New Roman" w:hAnsi="Times New Roman" w:cs="Times New Roman"/>
          <w:i/>
          <w:sz w:val="24"/>
          <w:szCs w:val="24"/>
        </w:rPr>
        <w:t>A kommunikációs mix elemei</w:t>
      </w:r>
      <w:bookmarkEnd w:id="106"/>
      <w:bookmarkEnd w:id="107"/>
      <w:r w:rsidRPr="001454FD">
        <w:rPr>
          <w:rFonts w:ascii="Times New Roman" w:hAnsi="Times New Roman" w:cs="Times New Roman"/>
          <w:i/>
          <w:sz w:val="24"/>
          <w:szCs w:val="24"/>
        </w:rPr>
        <w:t xml:space="preserve"> </w:t>
      </w:r>
    </w:p>
    <w:p w14:paraId="6A398186"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1454FD">
        <w:rPr>
          <w:rFonts w:ascii="Times New Roman" w:hAnsi="Times New Roman" w:cs="Times New Roman"/>
          <w:sz w:val="24"/>
          <w:szCs w:val="24"/>
        </w:rPr>
        <w:t>A vállalatok különböző</w:t>
      </w:r>
      <w:r w:rsidRPr="00CB0A5E">
        <w:rPr>
          <w:rFonts w:ascii="Times New Roman" w:hAnsi="Times New Roman" w:cs="Times New Roman"/>
          <w:sz w:val="24"/>
          <w:szCs w:val="24"/>
        </w:rPr>
        <w:t xml:space="preserve"> eszközöket használnak a célpiacokkal való kommunikációhoz. A kommunikáció célja a vevők elkötelezettségének kialakítása, az értékajánlat közvetítése a vevő számára. A kommunikáció tervezése során figyelni kell, hogy a különböző eszközöket összehangoljuk. </w:t>
      </w:r>
      <w:r w:rsidRPr="00CB0A5E">
        <w:rPr>
          <w:rFonts w:ascii="Times New Roman" w:hAnsi="Times New Roman" w:cs="Times New Roman"/>
          <w:b/>
          <w:bCs/>
          <w:sz w:val="24"/>
          <w:szCs w:val="24"/>
        </w:rPr>
        <w:t xml:space="preserve">A kommunikációs mix </w:t>
      </w:r>
      <w:r w:rsidRPr="00CB0A5E">
        <w:rPr>
          <w:rFonts w:ascii="Times New Roman" w:hAnsi="Times New Roman" w:cs="Times New Roman"/>
          <w:sz w:val="24"/>
          <w:szCs w:val="24"/>
        </w:rPr>
        <w:t xml:space="preserve">az olyan promóciós eszközök speciális kombinációja, amelyet a vállalat az érték közvetítésére és az ügyfélkapcsolatok kialakítására használ. </w:t>
      </w:r>
    </w:p>
    <w:p w14:paraId="3B2AEE23"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sz w:val="24"/>
          <w:szCs w:val="24"/>
        </w:rPr>
        <w:t xml:space="preserve">A kommunikációs mix elemei és jellemzői: </w:t>
      </w:r>
    </w:p>
    <w:p w14:paraId="78FE833D" w14:textId="77777777" w:rsidR="004D3317" w:rsidRPr="002317A2" w:rsidRDefault="004D3317" w:rsidP="00EC10C5">
      <w:pPr>
        <w:numPr>
          <w:ilvl w:val="0"/>
          <w:numId w:val="31"/>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Reklám (</w:t>
      </w:r>
      <w:proofErr w:type="spellStart"/>
      <w:r w:rsidRPr="00CB0A5E">
        <w:rPr>
          <w:rFonts w:ascii="Times New Roman" w:hAnsi="Times New Roman" w:cs="Times New Roman"/>
          <w:b/>
          <w:sz w:val="24"/>
          <w:szCs w:val="24"/>
        </w:rPr>
        <w:t>Advertising</w:t>
      </w:r>
      <w:proofErr w:type="spellEnd"/>
      <w:r w:rsidRPr="00CB0A5E">
        <w:rPr>
          <w:rFonts w:ascii="Times New Roman" w:hAnsi="Times New Roman" w:cs="Times New Roman"/>
          <w:b/>
          <w:sz w:val="24"/>
          <w:szCs w:val="24"/>
        </w:rPr>
        <w:t>) -</w:t>
      </w:r>
      <w:r w:rsidRPr="00CB0A5E">
        <w:rPr>
          <w:rFonts w:ascii="Times New Roman" w:hAnsi="Times New Roman" w:cs="Times New Roman"/>
          <w:sz w:val="24"/>
          <w:szCs w:val="24"/>
        </w:rPr>
        <w:t xml:space="preserve"> A reklám </w:t>
      </w:r>
      <w:r w:rsidRPr="00CB0A5E">
        <w:rPr>
          <w:rFonts w:ascii="Times New Roman" w:hAnsi="Times New Roman" w:cs="Times New Roman"/>
          <w:iCs/>
          <w:sz w:val="24"/>
          <w:szCs w:val="24"/>
        </w:rPr>
        <w:t>nem személyes</w:t>
      </w:r>
      <w:r w:rsidRPr="00CB0A5E">
        <w:rPr>
          <w:rFonts w:ascii="Times New Roman" w:hAnsi="Times New Roman" w:cs="Times New Roman"/>
          <w:sz w:val="24"/>
          <w:szCs w:val="24"/>
        </w:rPr>
        <w:t xml:space="preserve">, fizetett, befolyásoló célzatú kommunikáció, azonosítható </w:t>
      </w:r>
      <w:proofErr w:type="spellStart"/>
      <w:r w:rsidRPr="00CB0A5E">
        <w:rPr>
          <w:rFonts w:ascii="Times New Roman" w:hAnsi="Times New Roman" w:cs="Times New Roman"/>
          <w:sz w:val="24"/>
          <w:szCs w:val="24"/>
        </w:rPr>
        <w:t>közzétevővel</w:t>
      </w:r>
      <w:proofErr w:type="spellEnd"/>
      <w:r w:rsidRPr="00CB0A5E">
        <w:rPr>
          <w:rFonts w:ascii="Times New Roman" w:hAnsi="Times New Roman" w:cs="Times New Roman"/>
          <w:sz w:val="24"/>
          <w:szCs w:val="24"/>
        </w:rPr>
        <w:t>, termékekről, szolgáltatásokról és eszmékről, amelyeket különböző médiumokban tesznek közzé. Típusai: elektronikus média, nyomtatott sajtó, online, mobile, kültéri reklám.</w:t>
      </w:r>
      <w:r w:rsidR="002317A2">
        <w:rPr>
          <w:rFonts w:ascii="Times New Roman" w:hAnsi="Times New Roman" w:cs="Times New Roman"/>
          <w:sz w:val="24"/>
          <w:szCs w:val="24"/>
        </w:rPr>
        <w:t xml:space="preserve"> </w:t>
      </w:r>
      <w:r w:rsidRPr="002317A2">
        <w:rPr>
          <w:rFonts w:ascii="Times New Roman" w:hAnsi="Times New Roman" w:cs="Times New Roman"/>
          <w:sz w:val="24"/>
          <w:szCs w:val="24"/>
        </w:rPr>
        <w:t xml:space="preserve">A reklám </w:t>
      </w:r>
      <w:proofErr w:type="spellStart"/>
      <w:r w:rsidRPr="002317A2">
        <w:rPr>
          <w:rFonts w:ascii="Times New Roman" w:hAnsi="Times New Roman" w:cs="Times New Roman"/>
          <w:sz w:val="24"/>
          <w:szCs w:val="24"/>
        </w:rPr>
        <w:t>földrajzilag</w:t>
      </w:r>
      <w:proofErr w:type="spellEnd"/>
      <w:r w:rsidRPr="002317A2">
        <w:rPr>
          <w:rFonts w:ascii="Times New Roman" w:hAnsi="Times New Roman" w:cs="Times New Roman"/>
          <w:sz w:val="24"/>
          <w:szCs w:val="24"/>
        </w:rPr>
        <w:t xml:space="preserve"> szétszórt vásárlókat ér el relatíve alacsony áron az elérés tekintetében. A reklám lehetővé teszi, hogy az eladó számos alkalommal ismételjen egyetlen üzenetet.</w:t>
      </w:r>
    </w:p>
    <w:p w14:paraId="56FDA2C9" w14:textId="77777777" w:rsidR="004D3317" w:rsidRPr="002317A2" w:rsidRDefault="004D3317" w:rsidP="00EC10C5">
      <w:pPr>
        <w:numPr>
          <w:ilvl w:val="0"/>
          <w:numId w:val="31"/>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Public relations -</w:t>
      </w:r>
      <w:r w:rsidRPr="00CB0A5E">
        <w:rPr>
          <w:rFonts w:ascii="Times New Roman" w:hAnsi="Times New Roman" w:cs="Times New Roman"/>
          <w:sz w:val="24"/>
          <w:szCs w:val="24"/>
        </w:rPr>
        <w:t xml:space="preserve"> célja, hogy építsék, megóvják, javítsák a vállalat imázsát - a cégen belül a vállalat alkalmazottainak vagy a cégen kívül a fogyasztóknak, más cégeknek, a kormánynak és a médiának szánt különféle programok, események, hírek révén.</w:t>
      </w:r>
      <w:r w:rsidR="002317A2">
        <w:rPr>
          <w:rFonts w:ascii="Times New Roman" w:hAnsi="Times New Roman" w:cs="Times New Roman"/>
          <w:sz w:val="24"/>
          <w:szCs w:val="24"/>
        </w:rPr>
        <w:t xml:space="preserve"> </w:t>
      </w:r>
      <w:r w:rsidRPr="002317A2">
        <w:rPr>
          <w:rFonts w:ascii="Times New Roman" w:hAnsi="Times New Roman" w:cs="Times New Roman"/>
          <w:sz w:val="24"/>
          <w:szCs w:val="24"/>
        </w:rPr>
        <w:t xml:space="preserve">Fő jellemzője a hitelesség, a feltűnés keltése újságcikkek, szponzoráció események szervezésén keresztül. </w:t>
      </w:r>
    </w:p>
    <w:p w14:paraId="5B5ADAF3" w14:textId="77777777" w:rsidR="004D3317" w:rsidRPr="002317A2" w:rsidRDefault="004D3317" w:rsidP="00EC10C5">
      <w:pPr>
        <w:numPr>
          <w:ilvl w:val="0"/>
          <w:numId w:val="31"/>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Személyes eladás</w:t>
      </w:r>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Personal</w:t>
      </w:r>
      <w:proofErr w:type="spellEnd"/>
      <w:r w:rsidRPr="00CB0A5E">
        <w:rPr>
          <w:rFonts w:ascii="Times New Roman" w:hAnsi="Times New Roman" w:cs="Times New Roman"/>
          <w:sz w:val="24"/>
          <w:szCs w:val="24"/>
        </w:rPr>
        <w:t xml:space="preserve"> </w:t>
      </w:r>
      <w:proofErr w:type="spellStart"/>
      <w:r w:rsidRPr="00CB0A5E">
        <w:rPr>
          <w:rFonts w:ascii="Times New Roman" w:hAnsi="Times New Roman" w:cs="Times New Roman"/>
          <w:sz w:val="24"/>
          <w:szCs w:val="24"/>
        </w:rPr>
        <w:t>selling</w:t>
      </w:r>
      <w:proofErr w:type="spellEnd"/>
      <w:r w:rsidRPr="00CB0A5E">
        <w:rPr>
          <w:rFonts w:ascii="Times New Roman" w:hAnsi="Times New Roman" w:cs="Times New Roman"/>
          <w:sz w:val="24"/>
          <w:szCs w:val="24"/>
        </w:rPr>
        <w:t xml:space="preserve">) - A személyes értékesítés olyan marketingkommunikációs eszköz, melynek során az eladó és a vevő közvetlen, interaktív módon kommunikál. Az eladók általában kereskedők, üzletkötők vagy értékesítők. A szerepük meghatározó az eladás folyamatában, ezért a kommunikációs és tárgyalási képességük lényeges lehet a sikerességük szempontjából, hiszen a vállalatot képviselik az ügyfelek. Gyakran tárgyalások, értékesítési előadások, kiállítások, ösztönző programok keretében kerülnek kapcsolatba a vevővel. A személyes eladás kiemelkedően fontos a szervezeti piaci marketingtevékenységben. Kapcsolódó témakörök: Key account management, </w:t>
      </w:r>
      <w:proofErr w:type="spellStart"/>
      <w:r w:rsidRPr="00CB0A5E">
        <w:rPr>
          <w:rFonts w:ascii="Times New Roman" w:hAnsi="Times New Roman" w:cs="Times New Roman"/>
          <w:sz w:val="24"/>
          <w:szCs w:val="24"/>
        </w:rPr>
        <w:t>C</w:t>
      </w:r>
      <w:r w:rsidR="002317A2">
        <w:rPr>
          <w:rFonts w:ascii="Times New Roman" w:hAnsi="Times New Roman" w:cs="Times New Roman"/>
          <w:sz w:val="24"/>
          <w:szCs w:val="24"/>
        </w:rPr>
        <w:t>ustomer</w:t>
      </w:r>
      <w:proofErr w:type="spellEnd"/>
      <w:r w:rsidR="002317A2">
        <w:rPr>
          <w:rFonts w:ascii="Times New Roman" w:hAnsi="Times New Roman" w:cs="Times New Roman"/>
          <w:sz w:val="24"/>
          <w:szCs w:val="24"/>
        </w:rPr>
        <w:t xml:space="preserve"> </w:t>
      </w:r>
      <w:proofErr w:type="spellStart"/>
      <w:r w:rsidR="002317A2">
        <w:rPr>
          <w:rFonts w:ascii="Times New Roman" w:hAnsi="Times New Roman" w:cs="Times New Roman"/>
          <w:sz w:val="24"/>
          <w:szCs w:val="24"/>
        </w:rPr>
        <w:t>relationship</w:t>
      </w:r>
      <w:proofErr w:type="spellEnd"/>
      <w:r w:rsidR="002317A2">
        <w:rPr>
          <w:rFonts w:ascii="Times New Roman" w:hAnsi="Times New Roman" w:cs="Times New Roman"/>
          <w:sz w:val="24"/>
          <w:szCs w:val="24"/>
        </w:rPr>
        <w:t xml:space="preserve"> management. </w:t>
      </w:r>
      <w:r w:rsidRPr="002317A2">
        <w:rPr>
          <w:rFonts w:ascii="Times New Roman" w:hAnsi="Times New Roman" w:cs="Times New Roman"/>
          <w:sz w:val="24"/>
          <w:szCs w:val="24"/>
        </w:rPr>
        <w:t>A személyes eladás a vásárlási döntési folyamat késői szakaszaiban a leghatékonyabb eszköz.</w:t>
      </w:r>
    </w:p>
    <w:p w14:paraId="478E85A0" w14:textId="77777777" w:rsidR="004D3317" w:rsidRPr="002317A2" w:rsidRDefault="004D3317" w:rsidP="00EC10C5">
      <w:pPr>
        <w:numPr>
          <w:ilvl w:val="0"/>
          <w:numId w:val="31"/>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Értékesítés-ösztönzés (</w:t>
      </w:r>
      <w:proofErr w:type="spellStart"/>
      <w:r w:rsidRPr="00CB0A5E">
        <w:rPr>
          <w:rFonts w:ascii="Times New Roman" w:hAnsi="Times New Roman" w:cs="Times New Roman"/>
          <w:b/>
          <w:sz w:val="24"/>
          <w:szCs w:val="24"/>
        </w:rPr>
        <w:t>Sales</w:t>
      </w:r>
      <w:proofErr w:type="spellEnd"/>
      <w:r w:rsidRPr="00CB0A5E">
        <w:rPr>
          <w:rFonts w:ascii="Times New Roman" w:hAnsi="Times New Roman" w:cs="Times New Roman"/>
          <w:b/>
          <w:sz w:val="24"/>
          <w:szCs w:val="24"/>
        </w:rPr>
        <w:t xml:space="preserve"> </w:t>
      </w:r>
      <w:proofErr w:type="spellStart"/>
      <w:r w:rsidRPr="00CB0A5E">
        <w:rPr>
          <w:rFonts w:ascii="Times New Roman" w:hAnsi="Times New Roman" w:cs="Times New Roman"/>
          <w:b/>
          <w:sz w:val="24"/>
          <w:szCs w:val="24"/>
        </w:rPr>
        <w:t>promotion</w:t>
      </w:r>
      <w:proofErr w:type="spellEnd"/>
      <w:r w:rsidRPr="00CB0A5E">
        <w:rPr>
          <w:rFonts w:ascii="Times New Roman" w:hAnsi="Times New Roman" w:cs="Times New Roman"/>
          <w:b/>
          <w:sz w:val="24"/>
          <w:szCs w:val="24"/>
        </w:rPr>
        <w:t>) -</w:t>
      </w:r>
      <w:r w:rsidRPr="00CB0A5E">
        <w:rPr>
          <w:rFonts w:ascii="Times New Roman" w:hAnsi="Times New Roman" w:cs="Times New Roman"/>
          <w:sz w:val="24"/>
          <w:szCs w:val="24"/>
        </w:rPr>
        <w:t xml:space="preserve"> Különféle rövidtávon ható ösztönzők nyújtása a vevők vagy a kereskedők számára, amelyek a termék vagy a szolgáltatás (azonnali) kipróbálására vagy megvásárlására késztetik a vevőket. Például: kedvezmények kuponok, termékminták, display-ek, bemutatók.</w:t>
      </w:r>
      <w:r w:rsidR="002317A2">
        <w:rPr>
          <w:rFonts w:ascii="Times New Roman" w:hAnsi="Times New Roman" w:cs="Times New Roman"/>
          <w:sz w:val="24"/>
          <w:szCs w:val="24"/>
        </w:rPr>
        <w:t xml:space="preserve"> </w:t>
      </w:r>
      <w:r w:rsidRPr="002317A2">
        <w:rPr>
          <w:rFonts w:ascii="Times New Roman" w:hAnsi="Times New Roman" w:cs="Times New Roman"/>
          <w:sz w:val="24"/>
          <w:szCs w:val="24"/>
        </w:rPr>
        <w:t>Az értékesítés ösztönzés a vásárlási szándék megerősítését, a cselekvés felgyorsítását célozzák. Rövid távú hatásai közé soroljuk a vásárlók figyelmének felkeltését egy-egy termékajánlat iránt és egy kevéssé népszerű cikk forgalmának élénkítését.</w:t>
      </w:r>
    </w:p>
    <w:p w14:paraId="41A933CD" w14:textId="77777777" w:rsidR="004D3317" w:rsidRPr="002317A2" w:rsidRDefault="004D3317" w:rsidP="00EC10C5">
      <w:pPr>
        <w:numPr>
          <w:ilvl w:val="0"/>
          <w:numId w:val="31"/>
        </w:numPr>
        <w:spacing w:after="60" w:line="240" w:lineRule="auto"/>
        <w:ind w:left="567" w:firstLine="709"/>
        <w:jc w:val="both"/>
        <w:rPr>
          <w:rFonts w:ascii="Times New Roman" w:hAnsi="Times New Roman" w:cs="Times New Roman"/>
          <w:sz w:val="24"/>
          <w:szCs w:val="24"/>
        </w:rPr>
      </w:pPr>
      <w:r w:rsidRPr="00CB0A5E">
        <w:rPr>
          <w:rFonts w:ascii="Times New Roman" w:hAnsi="Times New Roman" w:cs="Times New Roman"/>
          <w:b/>
          <w:sz w:val="24"/>
          <w:szCs w:val="24"/>
        </w:rPr>
        <w:t>Direkt marketing</w:t>
      </w:r>
      <w:r w:rsidRPr="00CB0A5E">
        <w:rPr>
          <w:rFonts w:ascii="Times New Roman" w:hAnsi="Times New Roman" w:cs="Times New Roman"/>
          <w:sz w:val="24"/>
          <w:szCs w:val="24"/>
        </w:rPr>
        <w:t xml:space="preserve">, </w:t>
      </w:r>
      <w:r w:rsidRPr="00CB0A5E">
        <w:rPr>
          <w:rFonts w:ascii="Times New Roman" w:hAnsi="Times New Roman" w:cs="Times New Roman"/>
          <w:b/>
          <w:sz w:val="24"/>
          <w:szCs w:val="24"/>
        </w:rPr>
        <w:t>online marketing</w:t>
      </w:r>
      <w:r w:rsidRPr="00CB0A5E">
        <w:rPr>
          <w:rFonts w:ascii="Times New Roman" w:hAnsi="Times New Roman" w:cs="Times New Roman"/>
          <w:sz w:val="24"/>
          <w:szCs w:val="24"/>
        </w:rPr>
        <w:t xml:space="preserve"> - </w:t>
      </w:r>
      <w:r w:rsidRPr="00CB0A5E">
        <w:rPr>
          <w:rFonts w:ascii="Times New Roman" w:hAnsi="Times New Roman" w:cs="Times New Roman"/>
          <w:b/>
          <w:sz w:val="24"/>
          <w:szCs w:val="24"/>
        </w:rPr>
        <w:t>Direkt marketing</w:t>
      </w:r>
      <w:r w:rsidRPr="00CB0A5E">
        <w:rPr>
          <w:rFonts w:ascii="Times New Roman" w:hAnsi="Times New Roman" w:cs="Times New Roman"/>
          <w:sz w:val="24"/>
          <w:szCs w:val="24"/>
        </w:rPr>
        <w:t xml:space="preserve"> –közvetlen kommunikáció célzottan kiválasztott meglévő vagy potenciális vevőkkel személyesen, telefon, e-mail segítségével vagy az interneten keresztül. </w:t>
      </w:r>
      <w:r w:rsidRPr="00CB0A5E">
        <w:rPr>
          <w:rFonts w:ascii="Times New Roman" w:hAnsi="Times New Roman" w:cs="Times New Roman"/>
          <w:b/>
          <w:bCs/>
          <w:sz w:val="24"/>
          <w:szCs w:val="24"/>
        </w:rPr>
        <w:t xml:space="preserve">Online marketing - </w:t>
      </w:r>
      <w:r w:rsidRPr="00CB0A5E">
        <w:rPr>
          <w:rFonts w:ascii="Times New Roman" w:hAnsi="Times New Roman" w:cs="Times New Roman"/>
          <w:sz w:val="24"/>
          <w:szCs w:val="24"/>
        </w:rPr>
        <w:t>olyan online tevékenységek, amelyek célja a meglévő vagy a potenciális vevők bevonása, a termékek és szolgáltatások ismertségének növelése, imázsának megváltoztatása vagy vásárlásra való ösztönzése.</w:t>
      </w:r>
      <w:r w:rsidR="002317A2">
        <w:rPr>
          <w:rFonts w:ascii="Times New Roman" w:hAnsi="Times New Roman" w:cs="Times New Roman"/>
          <w:sz w:val="24"/>
          <w:szCs w:val="24"/>
        </w:rPr>
        <w:t xml:space="preserve"> </w:t>
      </w:r>
      <w:r w:rsidRPr="002317A2">
        <w:rPr>
          <w:rFonts w:ascii="Times New Roman" w:hAnsi="Times New Roman" w:cs="Times New Roman"/>
          <w:bCs/>
          <w:sz w:val="24"/>
          <w:szCs w:val="24"/>
        </w:rPr>
        <w:t>A direkt és online marketing</w:t>
      </w:r>
      <w:r w:rsidRPr="002317A2">
        <w:rPr>
          <w:rFonts w:ascii="Times New Roman" w:hAnsi="Times New Roman" w:cs="Times New Roman"/>
          <w:b/>
          <w:bCs/>
          <w:sz w:val="24"/>
          <w:szCs w:val="24"/>
        </w:rPr>
        <w:t xml:space="preserve"> </w:t>
      </w:r>
      <w:r w:rsidRPr="002317A2">
        <w:rPr>
          <w:rFonts w:ascii="Times New Roman" w:hAnsi="Times New Roman" w:cs="Times New Roman"/>
          <w:bCs/>
          <w:sz w:val="24"/>
          <w:szCs w:val="24"/>
        </w:rPr>
        <w:t>e</w:t>
      </w:r>
      <w:r w:rsidRPr="002317A2">
        <w:rPr>
          <w:rFonts w:ascii="Times New Roman" w:hAnsi="Times New Roman" w:cs="Times New Roman"/>
          <w:sz w:val="24"/>
          <w:szCs w:val="24"/>
        </w:rPr>
        <w:t>lőnyei közé tartozik, hogy személyre szabott: az üzenet tartalma a címzett igényéhez, érdeklődési köréhez igazítható. Aktuális, mert az üzenet rendkívül gyorsan elkészíthető. Interaktív, mivel az üzenet a fogyasztó válaszának megfelelően módosítható.</w:t>
      </w:r>
    </w:p>
    <w:p w14:paraId="13350FCD" w14:textId="77777777" w:rsidR="004D3317" w:rsidRPr="00CB0A5E" w:rsidRDefault="004D3317" w:rsidP="00EC10C5">
      <w:pPr>
        <w:spacing w:after="60" w:line="240" w:lineRule="auto"/>
        <w:ind w:firstLine="709"/>
        <w:jc w:val="both"/>
        <w:rPr>
          <w:rFonts w:ascii="Times New Roman" w:hAnsi="Times New Roman" w:cs="Times New Roman"/>
          <w:sz w:val="24"/>
          <w:szCs w:val="24"/>
        </w:rPr>
      </w:pPr>
      <w:r w:rsidRPr="00CB0A5E">
        <w:rPr>
          <w:rFonts w:ascii="Times New Roman" w:hAnsi="Times New Roman" w:cs="Times New Roman"/>
          <w:b/>
          <w:sz w:val="24"/>
          <w:szCs w:val="24"/>
        </w:rPr>
        <w:t>Az integrált marketingkommunikáció (IMK)</w:t>
      </w:r>
      <w:r w:rsidRPr="00CB0A5E">
        <w:rPr>
          <w:rFonts w:ascii="Times New Roman" w:hAnsi="Times New Roman" w:cs="Times New Roman"/>
          <w:sz w:val="24"/>
          <w:szCs w:val="24"/>
        </w:rPr>
        <w:t xml:space="preserve"> a szervezetek (az üzleti vállalkozások, nonprofit szervezetek, intézmények) belső és külső irányú szervezeti szintű és </w:t>
      </w:r>
      <w:r w:rsidRPr="00CB0A5E">
        <w:rPr>
          <w:rFonts w:ascii="Times New Roman" w:hAnsi="Times New Roman" w:cs="Times New Roman"/>
          <w:sz w:val="24"/>
          <w:szCs w:val="24"/>
        </w:rPr>
        <w:lastRenderedPageBreak/>
        <w:t xml:space="preserve">termék/szolgáltatás szintű kommunikációs aktivitásainak – folyamatainak, fázisainak, üzeneteinek, eszközeinek, módszereinek – </w:t>
      </w:r>
      <w:r w:rsidRPr="00CB0A5E">
        <w:rPr>
          <w:rFonts w:ascii="Times New Roman" w:hAnsi="Times New Roman" w:cs="Times New Roman"/>
          <w:i/>
          <w:sz w:val="24"/>
          <w:szCs w:val="24"/>
        </w:rPr>
        <w:t>időben és térben összehangolt rendszere</w:t>
      </w:r>
      <w:r w:rsidRPr="00CB0A5E">
        <w:rPr>
          <w:rFonts w:ascii="Times New Roman" w:hAnsi="Times New Roman" w:cs="Times New Roman"/>
          <w:sz w:val="24"/>
          <w:szCs w:val="24"/>
        </w:rPr>
        <w:t xml:space="preserve"> (Rekettye, Törőcsik, Hetesi, 2015). Az Amerikai Marketing szövetség úgy határozza meg az integrált marketingkommunikáció fogalmát, hogy az „olyan tervezési folyamat, amelynek célja annak biztosítása, hogy egy termék, szolgáltatás vagy szervezet meglévő vagy potenciális fogyasztójának minden, a márkával való érintkezése számára </w:t>
      </w:r>
      <w:r w:rsidRPr="00CB0A5E">
        <w:rPr>
          <w:rFonts w:ascii="Times New Roman" w:hAnsi="Times New Roman" w:cs="Times New Roman"/>
          <w:i/>
          <w:sz w:val="24"/>
          <w:szCs w:val="24"/>
        </w:rPr>
        <w:t>releváns és időben konzisztens</w:t>
      </w:r>
      <w:r w:rsidRPr="00CB0A5E">
        <w:rPr>
          <w:rFonts w:ascii="Times New Roman" w:hAnsi="Times New Roman" w:cs="Times New Roman"/>
          <w:sz w:val="24"/>
          <w:szCs w:val="24"/>
        </w:rPr>
        <w:t xml:space="preserve"> legyen” (</w:t>
      </w:r>
      <w:proofErr w:type="spellStart"/>
      <w:r w:rsidRPr="00CB0A5E">
        <w:rPr>
          <w:rFonts w:ascii="Times New Roman" w:hAnsi="Times New Roman" w:cs="Times New Roman"/>
          <w:sz w:val="24"/>
          <w:szCs w:val="24"/>
        </w:rPr>
        <w:t>Kotler</w:t>
      </w:r>
      <w:proofErr w:type="spellEnd"/>
      <w:r w:rsidRPr="00CB0A5E">
        <w:rPr>
          <w:rFonts w:ascii="Times New Roman" w:hAnsi="Times New Roman" w:cs="Times New Roman"/>
          <w:sz w:val="24"/>
          <w:szCs w:val="24"/>
        </w:rPr>
        <w:t>-Keller, 2012).</w:t>
      </w:r>
    </w:p>
    <w:p w14:paraId="75ABD428" w14:textId="77777777" w:rsidR="004D3317" w:rsidRPr="00CB0A5E" w:rsidRDefault="004D3317" w:rsidP="00EC10C5">
      <w:pPr>
        <w:spacing w:after="60" w:line="240" w:lineRule="auto"/>
        <w:ind w:firstLine="709"/>
        <w:jc w:val="both"/>
        <w:rPr>
          <w:rFonts w:ascii="Times New Roman" w:hAnsi="Times New Roman" w:cs="Times New Roman"/>
          <w:sz w:val="24"/>
          <w:szCs w:val="24"/>
        </w:rPr>
      </w:pPr>
    </w:p>
    <w:p w14:paraId="5BF6F492" w14:textId="77777777" w:rsidR="004D3317" w:rsidRPr="00CB0A5E" w:rsidRDefault="004D3317" w:rsidP="00EC10C5">
      <w:pPr>
        <w:pStyle w:val="Stlus1"/>
      </w:pPr>
      <w:bookmarkStart w:id="108" w:name="_Toc1568887"/>
      <w:bookmarkStart w:id="109" w:name="_Toc18420893"/>
      <w:r w:rsidRPr="00CB0A5E">
        <w:t>A hatékony kommunikáció kidolgozásának lépései</w:t>
      </w:r>
      <w:bookmarkEnd w:id="108"/>
      <w:bookmarkEnd w:id="109"/>
      <w:r w:rsidRPr="00CB0A5E">
        <w:t xml:space="preserve"> </w:t>
      </w:r>
    </w:p>
    <w:p w14:paraId="2C117090" w14:textId="77777777" w:rsidR="004D3317" w:rsidRPr="00CB0A5E" w:rsidRDefault="004D3317" w:rsidP="00EC10C5">
      <w:pPr>
        <w:numPr>
          <w:ilvl w:val="0"/>
          <w:numId w:val="6"/>
        </w:numPr>
        <w:tabs>
          <w:tab w:val="clear" w:pos="720"/>
        </w:tabs>
        <w:spacing w:after="60" w:line="240" w:lineRule="auto"/>
        <w:ind w:left="284"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célközönség meghatározása </w:t>
      </w:r>
      <w:r w:rsidRPr="00CB0A5E">
        <w:rPr>
          <w:rFonts w:ascii="Times New Roman" w:hAnsi="Times New Roman" w:cs="Times New Roman"/>
          <w:bCs/>
          <w:sz w:val="24"/>
          <w:szCs w:val="24"/>
        </w:rPr>
        <w:t>– A hatékony kommunikáció kialakításának első lépése, hogy világosan meghatározzuk, kinek szól az üzenetünk. A célközönség meghatározza a későbbi döntéseket arról, hogy mit, hogyan, mikor és hol kommunikáljon a cég. A célközönség lehet jelenlegi vagy potenciális vevő, aki a vásárlási döntést meghozza, de lehet az is, aki csupán befolyásolja azt. Pl. termék potenciális vevői, a jelenlegi felhasználók, a döntéshozók vagy a döntést befolyásolók, az egyének, a csoportok, egyes érintett körök vagy általában a nagyközönség.</w:t>
      </w:r>
    </w:p>
    <w:p w14:paraId="341810E4" w14:textId="77777777" w:rsidR="004D3317" w:rsidRPr="00CB0A5E" w:rsidRDefault="004D3317" w:rsidP="00EC10C5">
      <w:pPr>
        <w:numPr>
          <w:ilvl w:val="0"/>
          <w:numId w:val="6"/>
        </w:numPr>
        <w:spacing w:after="60" w:line="240" w:lineRule="auto"/>
        <w:ind w:left="284"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kommunikációs célok meghatározása </w:t>
      </w:r>
      <w:r w:rsidRPr="00CB0A5E">
        <w:rPr>
          <w:rFonts w:ascii="Times New Roman" w:hAnsi="Times New Roman" w:cs="Times New Roman"/>
          <w:bCs/>
          <w:sz w:val="24"/>
          <w:szCs w:val="24"/>
        </w:rPr>
        <w:t xml:space="preserve">– A termék eladása mellett számos más célja is lehet a vállalatnak. Annak alapján, hogy a vevő a vásárlási folyamat melyik fázisában van, különböző célokat határozhatunk meg: ismertség, tudás, tetszés, preferencia, meggyőzés és vásárlás. Új termék, van innováció esetében az elsődleges cél gyakran az ismertség növelése. Ha már hallott a termékről a fogyasztó, akkor a tudását szeretnénk bővíteni a termékről, majd elérni, hogy az adott márkát preferálja a többi alternatívával szemben, végül meggyőzni arról, hogy ez a számára legjobb opció végül vásárlásra ösztönözni. </w:t>
      </w:r>
    </w:p>
    <w:p w14:paraId="1A4CC6BC" w14:textId="77777777" w:rsidR="004D3317" w:rsidRPr="00CB0A5E" w:rsidRDefault="004D3317" w:rsidP="00EC10C5">
      <w:pPr>
        <w:numPr>
          <w:ilvl w:val="0"/>
          <w:numId w:val="6"/>
        </w:numPr>
        <w:spacing w:after="60" w:line="240" w:lineRule="auto"/>
        <w:ind w:left="284" w:firstLine="709"/>
        <w:jc w:val="both"/>
        <w:rPr>
          <w:rFonts w:ascii="Times New Roman" w:hAnsi="Times New Roman" w:cs="Times New Roman"/>
          <w:bCs/>
          <w:sz w:val="24"/>
          <w:szCs w:val="24"/>
        </w:rPr>
      </w:pPr>
      <w:r w:rsidRPr="00CB0A5E">
        <w:rPr>
          <w:rFonts w:ascii="Times New Roman" w:hAnsi="Times New Roman" w:cs="Times New Roman"/>
          <w:b/>
          <w:bCs/>
          <w:sz w:val="24"/>
          <w:szCs w:val="24"/>
        </w:rPr>
        <w:t xml:space="preserve">A kommunikáció megtervezése – </w:t>
      </w:r>
      <w:r w:rsidRPr="00CB0A5E">
        <w:rPr>
          <w:rFonts w:ascii="Times New Roman" w:hAnsi="Times New Roman" w:cs="Times New Roman"/>
          <w:bCs/>
          <w:sz w:val="24"/>
          <w:szCs w:val="24"/>
        </w:rPr>
        <w:t xml:space="preserve">A hatékony üzenet kialakítása több részből áll. Egyrészt meg kell határozni, hogy </w:t>
      </w:r>
      <w:r w:rsidRPr="00CB0A5E">
        <w:rPr>
          <w:rFonts w:ascii="Times New Roman" w:hAnsi="Times New Roman" w:cs="Times New Roman"/>
          <w:bCs/>
          <w:i/>
          <w:sz w:val="24"/>
          <w:szCs w:val="24"/>
        </w:rPr>
        <w:t>mi legyen az üzenet tartalma</w:t>
      </w:r>
      <w:r w:rsidRPr="00CB0A5E">
        <w:rPr>
          <w:rFonts w:ascii="Times New Roman" w:hAnsi="Times New Roman" w:cs="Times New Roman"/>
          <w:bCs/>
          <w:sz w:val="24"/>
          <w:szCs w:val="24"/>
        </w:rPr>
        <w:t xml:space="preserve">, másrészt dönteni kell </w:t>
      </w:r>
      <w:r w:rsidRPr="00CB0A5E">
        <w:rPr>
          <w:rFonts w:ascii="Times New Roman" w:hAnsi="Times New Roman" w:cs="Times New Roman"/>
          <w:bCs/>
          <w:i/>
          <w:sz w:val="24"/>
          <w:szCs w:val="24"/>
        </w:rPr>
        <w:t>az üzenet</w:t>
      </w:r>
      <w:r w:rsidRPr="00CB0A5E">
        <w:rPr>
          <w:rFonts w:ascii="Times New Roman" w:hAnsi="Times New Roman" w:cs="Times New Roman"/>
          <w:bCs/>
          <w:sz w:val="24"/>
          <w:szCs w:val="24"/>
        </w:rPr>
        <w:t xml:space="preserve"> </w:t>
      </w:r>
      <w:r w:rsidRPr="00CB0A5E">
        <w:rPr>
          <w:rFonts w:ascii="Times New Roman" w:hAnsi="Times New Roman" w:cs="Times New Roman"/>
          <w:bCs/>
          <w:i/>
          <w:sz w:val="24"/>
          <w:szCs w:val="24"/>
        </w:rPr>
        <w:t>struktúrájáról és a formátumáról</w:t>
      </w:r>
      <w:r w:rsidRPr="00CB0A5E">
        <w:rPr>
          <w:rFonts w:ascii="Times New Roman" w:hAnsi="Times New Roman" w:cs="Times New Roman"/>
          <w:bCs/>
          <w:sz w:val="24"/>
          <w:szCs w:val="24"/>
        </w:rPr>
        <w:t xml:space="preserve">. </w:t>
      </w:r>
      <w:r w:rsidRPr="00CB0A5E">
        <w:rPr>
          <w:rFonts w:ascii="Times New Roman" w:hAnsi="Times New Roman" w:cs="Times New Roman"/>
          <w:bCs/>
          <w:i/>
          <w:sz w:val="24"/>
          <w:szCs w:val="24"/>
        </w:rPr>
        <w:t>Az üzenet tartalma</w:t>
      </w:r>
      <w:r w:rsidRPr="00CB0A5E">
        <w:rPr>
          <w:rFonts w:ascii="Times New Roman" w:hAnsi="Times New Roman" w:cs="Times New Roman"/>
          <w:bCs/>
          <w:sz w:val="24"/>
          <w:szCs w:val="24"/>
        </w:rPr>
        <w:t xml:space="preserve"> lehet racionális, emocionális vagy morális. A racionális tartalmú üzenetekben a praktikus, hasznos termékjellemzők, tényszerű információk kerülnek átadásra, kihasználva az emberi gondolkodás racionális elemét. Jellemzően a minőségre, az egyedi termékjellemzőkre, a gazdaságosságra vagy teljesítményre vonatkozó állítások kerülnek a középpontba. Az emocionális tartalom esetében a leendő vásárlók érzései, motivációi alapján pozícionálják az üzenetet. A morális fókuszú üzenet esetében az erkölcsi alapelvek, a közösségi érdek és a lelkiismeretre való hatás válik a reklám fő meggyőző erejévé. </w:t>
      </w:r>
      <w:r w:rsidRPr="00CB0A5E">
        <w:rPr>
          <w:rFonts w:ascii="Times New Roman" w:hAnsi="Times New Roman" w:cs="Times New Roman"/>
          <w:bCs/>
          <w:i/>
          <w:sz w:val="24"/>
          <w:szCs w:val="24"/>
        </w:rPr>
        <w:t>Az üzenet struktúrája,</w:t>
      </w:r>
      <w:r w:rsidRPr="00CB0A5E">
        <w:rPr>
          <w:rFonts w:ascii="Times New Roman" w:hAnsi="Times New Roman" w:cs="Times New Roman"/>
          <w:bCs/>
          <w:sz w:val="24"/>
          <w:szCs w:val="24"/>
        </w:rPr>
        <w:t xml:space="preserve"> felépítése során például olyan kérdésekben kell dönteni, hogy az üzenet tartalmazza-e a konklúziót, vagy azt a nézőnek kelljen kitalálni; a legerőteljesebb érveket az üzenet elején, vagy a végén helyezzék el; csak a termék előnyeit hangsúlyozza, vagy a hátrányait is megemlítse.  </w:t>
      </w:r>
      <w:r w:rsidRPr="00CB0A5E">
        <w:rPr>
          <w:rFonts w:ascii="Times New Roman" w:hAnsi="Times New Roman" w:cs="Times New Roman"/>
          <w:bCs/>
          <w:i/>
          <w:sz w:val="24"/>
          <w:szCs w:val="24"/>
        </w:rPr>
        <w:t>A formátum</w:t>
      </w:r>
      <w:r w:rsidRPr="00CB0A5E">
        <w:rPr>
          <w:rFonts w:ascii="Times New Roman" w:hAnsi="Times New Roman" w:cs="Times New Roman"/>
          <w:bCs/>
          <w:sz w:val="24"/>
          <w:szCs w:val="24"/>
        </w:rPr>
        <w:t xml:space="preserve"> meghatározásakor dönteni kell például a megjelenő szöveg méretéről, betűtípusáról, a fotók színeiről, </w:t>
      </w:r>
      <w:proofErr w:type="gramStart"/>
      <w:r w:rsidRPr="00CB0A5E">
        <w:rPr>
          <w:rFonts w:ascii="Times New Roman" w:hAnsi="Times New Roman" w:cs="Times New Roman"/>
          <w:bCs/>
          <w:sz w:val="24"/>
          <w:szCs w:val="24"/>
        </w:rPr>
        <w:t>alakjáról,</w:t>
      </w:r>
      <w:proofErr w:type="gramEnd"/>
      <w:r w:rsidRPr="00CB0A5E">
        <w:rPr>
          <w:rFonts w:ascii="Times New Roman" w:hAnsi="Times New Roman" w:cs="Times New Roman"/>
          <w:bCs/>
          <w:sz w:val="24"/>
          <w:szCs w:val="24"/>
        </w:rPr>
        <w:t xml:space="preserve"> stb. </w:t>
      </w:r>
    </w:p>
    <w:p w14:paraId="0E70CDDA" w14:textId="77777777" w:rsidR="004D3317" w:rsidRPr="00CB0A5E" w:rsidRDefault="004D3317" w:rsidP="00EC10C5">
      <w:pPr>
        <w:numPr>
          <w:ilvl w:val="0"/>
          <w:numId w:val="6"/>
        </w:numPr>
        <w:spacing w:after="60" w:line="240" w:lineRule="auto"/>
        <w:ind w:left="284"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 csatornák kiválasztása - </w:t>
      </w:r>
      <w:r w:rsidRPr="00CB0A5E">
        <w:rPr>
          <w:rFonts w:ascii="Times New Roman" w:hAnsi="Times New Roman" w:cs="Times New Roman"/>
          <w:bCs/>
          <w:sz w:val="24"/>
          <w:szCs w:val="24"/>
        </w:rPr>
        <w:t xml:space="preserve">A kommunikációs csatornák két formáját különböztetjük meg: személyes és személytelen. </w:t>
      </w:r>
      <w:r w:rsidRPr="00CB0A5E">
        <w:rPr>
          <w:rFonts w:ascii="Times New Roman" w:hAnsi="Times New Roman" w:cs="Times New Roman"/>
          <w:bCs/>
          <w:i/>
          <w:sz w:val="24"/>
          <w:szCs w:val="24"/>
        </w:rPr>
        <w:t>A személyes csatornák</w:t>
      </w:r>
      <w:r w:rsidRPr="00CB0A5E">
        <w:rPr>
          <w:rFonts w:ascii="Times New Roman" w:hAnsi="Times New Roman" w:cs="Times New Roman"/>
          <w:bCs/>
          <w:sz w:val="24"/>
          <w:szCs w:val="24"/>
        </w:rPr>
        <w:t xml:space="preserve"> esetében két vagy több személy kommunikál közvetlenül egymással – jellemzően személyesen, telefonon, email-ben, levélben, online chat-en keresztül. A személyes csatornák egy részét tudja a vállalat ellenőrizni azokat, amelyekben saját értékesítő személyzetük kommunikál az ügyféllel. Az esetek egy részére a cégnek nincs hatása, jellemzően azokra, amely során a fogyasztók egymással osztják meg tapasztalataikat. Ide tartozik a szóbeszéd (</w:t>
      </w:r>
      <w:proofErr w:type="spellStart"/>
      <w:r w:rsidRPr="00CB0A5E">
        <w:rPr>
          <w:rFonts w:ascii="Times New Roman" w:hAnsi="Times New Roman" w:cs="Times New Roman"/>
          <w:bCs/>
          <w:sz w:val="24"/>
          <w:szCs w:val="24"/>
        </w:rPr>
        <w:t>word</w:t>
      </w:r>
      <w:proofErr w:type="spellEnd"/>
      <w:r w:rsidRPr="00CB0A5E">
        <w:rPr>
          <w:rFonts w:ascii="Times New Roman" w:hAnsi="Times New Roman" w:cs="Times New Roman"/>
          <w:bCs/>
          <w:sz w:val="24"/>
          <w:szCs w:val="24"/>
        </w:rPr>
        <w:t>-of-</w:t>
      </w:r>
      <w:proofErr w:type="spellStart"/>
      <w:r w:rsidRPr="00CB0A5E">
        <w:rPr>
          <w:rFonts w:ascii="Times New Roman" w:hAnsi="Times New Roman" w:cs="Times New Roman"/>
          <w:bCs/>
          <w:sz w:val="24"/>
          <w:szCs w:val="24"/>
        </w:rPr>
        <w:t>mouth</w:t>
      </w:r>
      <w:proofErr w:type="spellEnd"/>
      <w:r w:rsidRPr="00CB0A5E">
        <w:rPr>
          <w:rFonts w:ascii="Times New Roman" w:hAnsi="Times New Roman" w:cs="Times New Roman"/>
          <w:bCs/>
          <w:sz w:val="24"/>
          <w:szCs w:val="24"/>
        </w:rPr>
        <w:t xml:space="preserve">) hatás, a barátok ismerősök ajánlásai, de az online térben az </w:t>
      </w:r>
      <w:proofErr w:type="spellStart"/>
      <w:r w:rsidRPr="00CB0A5E">
        <w:rPr>
          <w:rFonts w:ascii="Times New Roman" w:hAnsi="Times New Roman" w:cs="Times New Roman"/>
          <w:bCs/>
          <w:sz w:val="24"/>
          <w:szCs w:val="24"/>
        </w:rPr>
        <w:t>influenszerek</w:t>
      </w:r>
      <w:proofErr w:type="spellEnd"/>
      <w:r w:rsidRPr="00CB0A5E">
        <w:rPr>
          <w:rFonts w:ascii="Times New Roman" w:hAnsi="Times New Roman" w:cs="Times New Roman"/>
          <w:bCs/>
          <w:sz w:val="24"/>
          <w:szCs w:val="24"/>
        </w:rPr>
        <w:t xml:space="preserve">, blogok, közösségi oldalak által megfogalmazott vélemények is. </w:t>
      </w:r>
      <w:r w:rsidRPr="00CB0A5E">
        <w:rPr>
          <w:rFonts w:ascii="Times New Roman" w:hAnsi="Times New Roman" w:cs="Times New Roman"/>
          <w:bCs/>
          <w:i/>
          <w:sz w:val="24"/>
          <w:szCs w:val="24"/>
        </w:rPr>
        <w:t>A nem személyes kommunikációs csatornák</w:t>
      </w:r>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media</w:t>
      </w:r>
      <w:proofErr w:type="spellEnd"/>
      <w:r w:rsidRPr="00CB0A5E">
        <w:rPr>
          <w:rFonts w:ascii="Times New Roman" w:hAnsi="Times New Roman" w:cs="Times New Roman"/>
          <w:bCs/>
          <w:sz w:val="24"/>
          <w:szCs w:val="24"/>
        </w:rPr>
        <w:t xml:space="preserve">) esetében nincs személyes kontaktus, vagy azonnali visszajelzés a vevőtől. </w:t>
      </w:r>
      <w:r w:rsidRPr="00CB0A5E">
        <w:rPr>
          <w:rFonts w:ascii="Times New Roman" w:hAnsi="Times New Roman" w:cs="Times New Roman"/>
          <w:bCs/>
          <w:sz w:val="24"/>
          <w:szCs w:val="24"/>
        </w:rPr>
        <w:lastRenderedPageBreak/>
        <w:t>A legfontosabb médiumok, csatornák a nyomtatott média (napilapok, hetilapok, magazinok), elektronikus média (televízió, rádió), kültéri eszközök (pl. óriásplakát, city-</w:t>
      </w:r>
      <w:proofErr w:type="spellStart"/>
      <w:r w:rsidRPr="00CB0A5E">
        <w:rPr>
          <w:rFonts w:ascii="Times New Roman" w:hAnsi="Times New Roman" w:cs="Times New Roman"/>
          <w:bCs/>
          <w:sz w:val="24"/>
          <w:szCs w:val="24"/>
        </w:rPr>
        <w:t>light</w:t>
      </w:r>
      <w:proofErr w:type="spellEnd"/>
      <w:r w:rsidRPr="00CB0A5E">
        <w:rPr>
          <w:rFonts w:ascii="Times New Roman" w:hAnsi="Times New Roman" w:cs="Times New Roman"/>
          <w:bCs/>
          <w:sz w:val="24"/>
          <w:szCs w:val="24"/>
        </w:rPr>
        <w:t xml:space="preserve">), online </w:t>
      </w:r>
      <w:proofErr w:type="spellStart"/>
      <w:r w:rsidRPr="00CB0A5E">
        <w:rPr>
          <w:rFonts w:ascii="Times New Roman" w:hAnsi="Times New Roman" w:cs="Times New Roman"/>
          <w:bCs/>
          <w:sz w:val="24"/>
          <w:szCs w:val="24"/>
        </w:rPr>
        <w:t>media</w:t>
      </w:r>
      <w:proofErr w:type="spellEnd"/>
      <w:r w:rsidRPr="00CB0A5E">
        <w:rPr>
          <w:rFonts w:ascii="Times New Roman" w:hAnsi="Times New Roman" w:cs="Times New Roman"/>
          <w:bCs/>
          <w:sz w:val="24"/>
          <w:szCs w:val="24"/>
        </w:rPr>
        <w:t xml:space="preserve"> (e-mail and </w:t>
      </w:r>
      <w:proofErr w:type="spellStart"/>
      <w:r w:rsidRPr="00CB0A5E">
        <w:rPr>
          <w:rFonts w:ascii="Times New Roman" w:hAnsi="Times New Roman" w:cs="Times New Roman"/>
          <w:bCs/>
          <w:sz w:val="24"/>
          <w:szCs w:val="24"/>
        </w:rPr>
        <w:t>company</w:t>
      </w:r>
      <w:proofErr w:type="spellEnd"/>
      <w:r w:rsidRPr="00CB0A5E">
        <w:rPr>
          <w:rFonts w:ascii="Times New Roman" w:hAnsi="Times New Roman" w:cs="Times New Roman"/>
          <w:bCs/>
          <w:sz w:val="24"/>
          <w:szCs w:val="24"/>
        </w:rPr>
        <w:t xml:space="preserve"> web </w:t>
      </w:r>
      <w:proofErr w:type="spellStart"/>
      <w:r w:rsidRPr="00CB0A5E">
        <w:rPr>
          <w:rFonts w:ascii="Times New Roman" w:hAnsi="Times New Roman" w:cs="Times New Roman"/>
          <w:bCs/>
          <w:sz w:val="24"/>
          <w:szCs w:val="24"/>
        </w:rPr>
        <w:t>sites</w:t>
      </w:r>
      <w:proofErr w:type="spellEnd"/>
      <w:r w:rsidRPr="00CB0A5E">
        <w:rPr>
          <w:rFonts w:ascii="Times New Roman" w:hAnsi="Times New Roman" w:cs="Times New Roman"/>
          <w:bCs/>
          <w:sz w:val="24"/>
          <w:szCs w:val="24"/>
        </w:rPr>
        <w:t xml:space="preserve">, </w:t>
      </w:r>
      <w:proofErr w:type="spellStart"/>
      <w:r w:rsidRPr="00CB0A5E">
        <w:rPr>
          <w:rFonts w:ascii="Times New Roman" w:hAnsi="Times New Roman" w:cs="Times New Roman"/>
          <w:bCs/>
          <w:sz w:val="24"/>
          <w:szCs w:val="24"/>
        </w:rPr>
        <w:t>interactive</w:t>
      </w:r>
      <w:proofErr w:type="spellEnd"/>
      <w:r w:rsidRPr="00CB0A5E">
        <w:rPr>
          <w:rFonts w:ascii="Times New Roman" w:hAnsi="Times New Roman" w:cs="Times New Roman"/>
          <w:bCs/>
          <w:sz w:val="24"/>
          <w:szCs w:val="24"/>
        </w:rPr>
        <w:t xml:space="preserve"> TV), POP vásárláshelyi és vásárlásösztönző felületek (eladáshelyi poszterek, display), mozi (multiplex, </w:t>
      </w:r>
      <w:proofErr w:type="spellStart"/>
      <w:r w:rsidRPr="00CB0A5E">
        <w:rPr>
          <w:rFonts w:ascii="Times New Roman" w:hAnsi="Times New Roman" w:cs="Times New Roman"/>
          <w:bCs/>
          <w:sz w:val="24"/>
          <w:szCs w:val="24"/>
        </w:rPr>
        <w:t>Imax</w:t>
      </w:r>
      <w:proofErr w:type="spellEnd"/>
      <w:r w:rsidRPr="00CB0A5E">
        <w:rPr>
          <w:rFonts w:ascii="Times New Roman" w:hAnsi="Times New Roman" w:cs="Times New Roman"/>
          <w:bCs/>
          <w:sz w:val="24"/>
          <w:szCs w:val="24"/>
        </w:rPr>
        <w:t xml:space="preserve">, kültéri).    </w:t>
      </w:r>
    </w:p>
    <w:p w14:paraId="1895D67A" w14:textId="77777777" w:rsidR="004D3317" w:rsidRPr="00CB0A5E" w:rsidRDefault="004D3317" w:rsidP="00EC10C5">
      <w:pPr>
        <w:numPr>
          <w:ilvl w:val="0"/>
          <w:numId w:val="6"/>
        </w:numPr>
        <w:spacing w:after="60" w:line="240" w:lineRule="auto"/>
        <w:ind w:left="284" w:firstLine="709"/>
        <w:jc w:val="both"/>
        <w:rPr>
          <w:rFonts w:ascii="Times New Roman" w:hAnsi="Times New Roman" w:cs="Times New Roman"/>
          <w:sz w:val="24"/>
          <w:szCs w:val="24"/>
        </w:rPr>
      </w:pPr>
      <w:r w:rsidRPr="00CB0A5E">
        <w:rPr>
          <w:rFonts w:ascii="Times New Roman" w:hAnsi="Times New Roman" w:cs="Times New Roman"/>
          <w:b/>
          <w:sz w:val="24"/>
          <w:szCs w:val="24"/>
        </w:rPr>
        <w:t xml:space="preserve">Az üzenet forrásának kiválasztása </w:t>
      </w:r>
      <w:r w:rsidRPr="00CB0A5E">
        <w:rPr>
          <w:rFonts w:ascii="Times New Roman" w:hAnsi="Times New Roman" w:cs="Times New Roman"/>
          <w:sz w:val="24"/>
          <w:szCs w:val="24"/>
        </w:rPr>
        <w:t>- Az üzenet hatása függ attól, hogy ki adja át az üzenetet. A vonzó vagy népszerű forrás által közvetített üzenetekre általában jobban felfigyelnek az emberek, és könnyebben fel is idézik azokat. Ezért a vállalatok gyakran ismert embereket (pl. sportolókat, színészeket) vagy szakembereket (pl. orvosokat) választanak az üzenet közvetítőinek.  Ugyanakkor nagyon fontos, hogy az üzenetet átadó személy hiteles legyen a célcsoport számára, máskülönben a hatás nem a kívánt eredményt éri el.</w:t>
      </w:r>
    </w:p>
    <w:p w14:paraId="4751B53A" w14:textId="77777777" w:rsidR="004D3317" w:rsidRPr="002317A2" w:rsidRDefault="004D3317" w:rsidP="00EC10C5">
      <w:pPr>
        <w:numPr>
          <w:ilvl w:val="0"/>
          <w:numId w:val="6"/>
        </w:numPr>
        <w:spacing w:after="60" w:line="240" w:lineRule="auto"/>
        <w:ind w:left="284" w:firstLine="709"/>
        <w:jc w:val="both"/>
        <w:rPr>
          <w:rFonts w:ascii="Times New Roman" w:hAnsi="Times New Roman" w:cs="Times New Roman"/>
          <w:bCs/>
          <w:sz w:val="24"/>
          <w:szCs w:val="24"/>
        </w:rPr>
      </w:pPr>
      <w:r w:rsidRPr="002317A2">
        <w:rPr>
          <w:rFonts w:ascii="Times New Roman" w:hAnsi="Times New Roman" w:cs="Times New Roman"/>
          <w:b/>
          <w:bCs/>
          <w:sz w:val="24"/>
          <w:szCs w:val="24"/>
        </w:rPr>
        <w:t xml:space="preserve">A költségvetés meghatározása </w:t>
      </w:r>
      <w:r w:rsidRPr="002317A2">
        <w:rPr>
          <w:rFonts w:ascii="Times New Roman" w:hAnsi="Times New Roman" w:cs="Times New Roman"/>
          <w:bCs/>
          <w:sz w:val="24"/>
          <w:szCs w:val="24"/>
        </w:rPr>
        <w:t xml:space="preserve">– A hatékony kommunikáció egyik sarkalatos döntése a kommunikációs költségek meghatározása. </w:t>
      </w:r>
      <w:r w:rsidRPr="002317A2">
        <w:rPr>
          <w:rFonts w:ascii="Times New Roman" w:hAnsi="Times New Roman" w:cs="Times New Roman"/>
          <w:b/>
          <w:bCs/>
          <w:sz w:val="24"/>
          <w:szCs w:val="24"/>
        </w:rPr>
        <w:t>A megengedhető költés módszere</w:t>
      </w:r>
      <w:r w:rsidRPr="002317A2">
        <w:rPr>
          <w:rFonts w:ascii="Times New Roman" w:hAnsi="Times New Roman" w:cs="Times New Roman"/>
          <w:bCs/>
          <w:sz w:val="24"/>
          <w:szCs w:val="24"/>
        </w:rPr>
        <w:t xml:space="preserve"> alkalmazásakor a vállalatok annak alapján döntenek a kommunikációs költségvetésről, hogy mennyit engedhet meg magának a cég. Ez a módszer nem veszi figyelembe a kommunikáció értékesítésre gyakorolt hatását. </w:t>
      </w:r>
      <w:r w:rsidRPr="002317A2">
        <w:rPr>
          <w:rFonts w:ascii="Times New Roman" w:hAnsi="Times New Roman" w:cs="Times New Roman"/>
          <w:b/>
          <w:bCs/>
          <w:sz w:val="24"/>
          <w:szCs w:val="24"/>
        </w:rPr>
        <w:t>A forgalomarányos módszer</w:t>
      </w:r>
      <w:r w:rsidRPr="002317A2">
        <w:rPr>
          <w:rFonts w:ascii="Times New Roman" w:hAnsi="Times New Roman" w:cs="Times New Roman"/>
          <w:bCs/>
          <w:sz w:val="24"/>
          <w:szCs w:val="24"/>
        </w:rPr>
        <w:t xml:space="preserve"> (</w:t>
      </w:r>
      <w:proofErr w:type="spellStart"/>
      <w:r w:rsidRPr="002317A2">
        <w:rPr>
          <w:rFonts w:ascii="Times New Roman" w:hAnsi="Times New Roman" w:cs="Times New Roman"/>
          <w:bCs/>
          <w:sz w:val="24"/>
          <w:szCs w:val="24"/>
        </w:rPr>
        <w:t>percentage</w:t>
      </w:r>
      <w:proofErr w:type="spellEnd"/>
      <w:r w:rsidRPr="002317A2">
        <w:rPr>
          <w:rFonts w:ascii="Times New Roman" w:hAnsi="Times New Roman" w:cs="Times New Roman"/>
          <w:bCs/>
          <w:sz w:val="24"/>
          <w:szCs w:val="24"/>
        </w:rPr>
        <w:t>-of-</w:t>
      </w:r>
      <w:proofErr w:type="spellStart"/>
      <w:r w:rsidRPr="002317A2">
        <w:rPr>
          <w:rFonts w:ascii="Times New Roman" w:hAnsi="Times New Roman" w:cs="Times New Roman"/>
          <w:bCs/>
          <w:sz w:val="24"/>
          <w:szCs w:val="24"/>
        </w:rPr>
        <w:t>sales</w:t>
      </w:r>
      <w:proofErr w:type="spellEnd"/>
      <w:r w:rsidRPr="002317A2">
        <w:rPr>
          <w:rFonts w:ascii="Times New Roman" w:hAnsi="Times New Roman" w:cs="Times New Roman"/>
          <w:bCs/>
          <w:sz w:val="24"/>
          <w:szCs w:val="24"/>
        </w:rPr>
        <w:t xml:space="preserve"> </w:t>
      </w:r>
      <w:proofErr w:type="spellStart"/>
      <w:r w:rsidRPr="002317A2">
        <w:rPr>
          <w:rFonts w:ascii="Times New Roman" w:hAnsi="Times New Roman" w:cs="Times New Roman"/>
          <w:bCs/>
          <w:sz w:val="24"/>
          <w:szCs w:val="24"/>
        </w:rPr>
        <w:t>method</w:t>
      </w:r>
      <w:proofErr w:type="spellEnd"/>
      <w:r w:rsidRPr="002317A2">
        <w:rPr>
          <w:rFonts w:ascii="Times New Roman" w:hAnsi="Times New Roman" w:cs="Times New Roman"/>
          <w:bCs/>
          <w:sz w:val="24"/>
          <w:szCs w:val="24"/>
        </w:rPr>
        <w:t xml:space="preserve">) választása esetében a vállalat aktuális vagy becsült </w:t>
      </w:r>
      <w:proofErr w:type="gramStart"/>
      <w:r w:rsidRPr="002317A2">
        <w:rPr>
          <w:rFonts w:ascii="Times New Roman" w:hAnsi="Times New Roman" w:cs="Times New Roman"/>
          <w:bCs/>
          <w:sz w:val="24"/>
          <w:szCs w:val="24"/>
        </w:rPr>
        <w:t>forgalmának</w:t>
      </w:r>
      <w:proofErr w:type="gramEnd"/>
      <w:r w:rsidRPr="002317A2">
        <w:rPr>
          <w:rFonts w:ascii="Times New Roman" w:hAnsi="Times New Roman" w:cs="Times New Roman"/>
          <w:bCs/>
          <w:sz w:val="24"/>
          <w:szCs w:val="24"/>
        </w:rPr>
        <w:t xml:space="preserve"> illetve a termék eladási árának megadott százalékában határozza meg a költségvetés mértékét. Mivel a költségvetés nagyon változó lehet az egyes években, nehéz előre tervezni hosszú távon. </w:t>
      </w:r>
      <w:r w:rsidRPr="002317A2">
        <w:rPr>
          <w:rFonts w:ascii="Times New Roman" w:hAnsi="Times New Roman" w:cs="Times New Roman"/>
          <w:b/>
          <w:bCs/>
          <w:sz w:val="24"/>
          <w:szCs w:val="24"/>
        </w:rPr>
        <w:t xml:space="preserve">A versenyparitásos módszer </w:t>
      </w:r>
      <w:r w:rsidRPr="002317A2">
        <w:rPr>
          <w:rFonts w:ascii="Times New Roman" w:hAnsi="Times New Roman" w:cs="Times New Roman"/>
          <w:bCs/>
          <w:sz w:val="24"/>
          <w:szCs w:val="24"/>
        </w:rPr>
        <w:t xml:space="preserve">használatakor a vállalatok úgy alakítják ki kommunikációs költségvetésüket, hogy a versenytársakkal költésével (vagy az iparág átlagos költségvetésével) azonos nagyságrendben költsenek kommunikációra. </w:t>
      </w:r>
      <w:r w:rsidRPr="002317A2">
        <w:rPr>
          <w:rFonts w:ascii="Times New Roman" w:hAnsi="Times New Roman" w:cs="Times New Roman"/>
          <w:b/>
          <w:bCs/>
          <w:sz w:val="24"/>
          <w:szCs w:val="24"/>
        </w:rPr>
        <w:t xml:space="preserve">A cél-feladat módszer </w:t>
      </w:r>
      <w:r w:rsidRPr="002317A2">
        <w:rPr>
          <w:rFonts w:ascii="Times New Roman" w:hAnsi="Times New Roman" w:cs="Times New Roman"/>
          <w:bCs/>
          <w:sz w:val="24"/>
          <w:szCs w:val="24"/>
        </w:rPr>
        <w:t xml:space="preserve">alapja, hogy a kommunikációs költségvetés elkészítéséhez felmérik a vállalat konkrét kommunikációs céljait, meghatározzák a célok eléréséhez szükséges feladatokat, végül felbecsülik a feladatok végrehajtásának költségeit. a költségek összessége határozza meg a kommunikációs költségvetést. </w:t>
      </w:r>
    </w:p>
    <w:p w14:paraId="24A240AC" w14:textId="77777777" w:rsidR="0048439E" w:rsidRDefault="004D3317" w:rsidP="00EC10C5">
      <w:pPr>
        <w:numPr>
          <w:ilvl w:val="0"/>
          <w:numId w:val="6"/>
        </w:numPr>
        <w:spacing w:after="60" w:line="240" w:lineRule="auto"/>
        <w:ind w:left="284" w:firstLine="709"/>
        <w:jc w:val="both"/>
        <w:rPr>
          <w:rFonts w:ascii="Times New Roman" w:hAnsi="Times New Roman" w:cs="Times New Roman"/>
          <w:sz w:val="24"/>
          <w:szCs w:val="24"/>
        </w:rPr>
      </w:pPr>
      <w:r w:rsidRPr="00CB0A5E">
        <w:rPr>
          <w:rFonts w:ascii="Times New Roman" w:hAnsi="Times New Roman" w:cs="Times New Roman"/>
          <w:b/>
          <w:bCs/>
          <w:sz w:val="24"/>
          <w:szCs w:val="24"/>
        </w:rPr>
        <w:t xml:space="preserve">Az eredmények mérése </w:t>
      </w:r>
      <w:r w:rsidRPr="00CB0A5E">
        <w:rPr>
          <w:rFonts w:ascii="Times New Roman" w:hAnsi="Times New Roman" w:cs="Times New Roman"/>
          <w:bCs/>
          <w:sz w:val="24"/>
          <w:szCs w:val="24"/>
        </w:rPr>
        <w:t xml:space="preserve">– A vállalatok többféle módon is értékelik az üzenet eredményességét. Egyrészt piackutatás során mérhetik a reklám hatékonyságát, azt, hogy a fogyasztók milyen arányban emlékeznek az üzenetre, mit tudnak felidézni belőle, hogyan változott </w:t>
      </w:r>
      <w:proofErr w:type="gramStart"/>
      <w:r w:rsidRPr="00CB0A5E">
        <w:rPr>
          <w:rFonts w:ascii="Times New Roman" w:hAnsi="Times New Roman" w:cs="Times New Roman"/>
          <w:bCs/>
          <w:sz w:val="24"/>
          <w:szCs w:val="24"/>
        </w:rPr>
        <w:t>az attitűdjük,</w:t>
      </w:r>
      <w:proofErr w:type="gramEnd"/>
      <w:r w:rsidRPr="00CB0A5E">
        <w:rPr>
          <w:rFonts w:ascii="Times New Roman" w:hAnsi="Times New Roman" w:cs="Times New Roman"/>
          <w:bCs/>
          <w:sz w:val="24"/>
          <w:szCs w:val="24"/>
        </w:rPr>
        <w:t xml:space="preserve"> vagy vásárlási szándékuk</w:t>
      </w:r>
      <w:r w:rsidRPr="00CB0A5E">
        <w:rPr>
          <w:rFonts w:ascii="Times New Roman" w:hAnsi="Times New Roman" w:cs="Times New Roman"/>
          <w:sz w:val="24"/>
          <w:szCs w:val="24"/>
        </w:rPr>
        <w:t xml:space="preserve"> a márka vagy termék irányába. Másrészt az eladások növekedése, a fogyasztói visszajelzések is információt nyújtanak az üzenet hatékonyságáról.</w:t>
      </w:r>
    </w:p>
    <w:p w14:paraId="7F97CEB6" w14:textId="77777777" w:rsidR="00ED73C4" w:rsidRDefault="00ED73C4" w:rsidP="00EC10C5">
      <w:pPr>
        <w:spacing w:after="60" w:line="240" w:lineRule="auto"/>
        <w:ind w:left="284"/>
        <w:jc w:val="both"/>
        <w:rPr>
          <w:rFonts w:ascii="Times New Roman" w:hAnsi="Times New Roman" w:cs="Times New Roman"/>
          <w:sz w:val="24"/>
          <w:szCs w:val="24"/>
        </w:rPr>
      </w:pPr>
    </w:p>
    <w:p w14:paraId="7DE22036" w14:textId="77777777" w:rsidR="00ED73C4" w:rsidRDefault="00ED73C4" w:rsidP="00EC10C5">
      <w:pPr>
        <w:rPr>
          <w:rFonts w:ascii="Times New Roman" w:hAnsi="Times New Roman" w:cs="Times New Roman"/>
          <w:sz w:val="24"/>
          <w:szCs w:val="24"/>
        </w:rPr>
      </w:pPr>
      <w:r>
        <w:rPr>
          <w:rFonts w:ascii="Times New Roman" w:hAnsi="Times New Roman" w:cs="Times New Roman"/>
          <w:sz w:val="24"/>
          <w:szCs w:val="24"/>
        </w:rPr>
        <w:br w:type="page"/>
      </w:r>
    </w:p>
    <w:p w14:paraId="3CC3B584" w14:textId="77777777" w:rsidR="00ED73C4" w:rsidRDefault="00ED73C4" w:rsidP="00EC10C5">
      <w:pPr>
        <w:pStyle w:val="Cmsor1"/>
        <w:jc w:val="center"/>
        <w:rPr>
          <w:rFonts w:ascii="Times New Roman" w:hAnsi="Times New Roman" w:cs="Times New Roman"/>
          <w:b/>
          <w:sz w:val="26"/>
          <w:szCs w:val="26"/>
          <w:u w:val="single"/>
        </w:rPr>
      </w:pPr>
      <w:r w:rsidRPr="00ED73C4">
        <w:rPr>
          <w:rFonts w:ascii="Times New Roman" w:hAnsi="Times New Roman" w:cs="Times New Roman"/>
          <w:b/>
          <w:sz w:val="26"/>
          <w:szCs w:val="26"/>
        </w:rPr>
        <w:lastRenderedPageBreak/>
        <w:t xml:space="preserve">II. </w:t>
      </w:r>
      <w:r w:rsidRPr="00ED73C4">
        <w:rPr>
          <w:rFonts w:ascii="Times New Roman" w:hAnsi="Times New Roman" w:cs="Times New Roman"/>
          <w:b/>
          <w:sz w:val="26"/>
          <w:szCs w:val="26"/>
          <w:u w:val="single"/>
        </w:rPr>
        <w:t>Szervezeti magatartás tárgy témakörei</w:t>
      </w:r>
    </w:p>
    <w:p w14:paraId="75C41A44" w14:textId="77777777" w:rsidR="007D587C" w:rsidRPr="007D587C" w:rsidRDefault="007D587C" w:rsidP="00445121">
      <w:pPr>
        <w:pStyle w:val="Cmsor1"/>
        <w:numPr>
          <w:ilvl w:val="0"/>
          <w:numId w:val="40"/>
        </w:numPr>
        <w:spacing w:after="120" w:line="240" w:lineRule="auto"/>
        <w:jc w:val="both"/>
        <w:rPr>
          <w:rFonts w:ascii="Times New Roman" w:hAnsi="Times New Roman" w:cs="Times New Roman"/>
        </w:rPr>
      </w:pPr>
      <w:bookmarkStart w:id="110" w:name="_Toc118745211"/>
      <w:bookmarkStart w:id="111" w:name="_Toc145962959"/>
      <w:bookmarkStart w:id="112" w:name="_Hlk118556835"/>
      <w:r w:rsidRPr="007D587C">
        <w:rPr>
          <w:rFonts w:ascii="Times New Roman" w:hAnsi="Times New Roman" w:cs="Times New Roman"/>
        </w:rPr>
        <w:t>Szervezeti szintű magatartási alapú döntések – Szervezeti kultúra</w:t>
      </w:r>
      <w:bookmarkEnd w:id="110"/>
      <w:bookmarkEnd w:id="111"/>
    </w:p>
    <w:p w14:paraId="7F309D6F" w14:textId="77777777" w:rsidR="007D587C" w:rsidRPr="007D587C" w:rsidRDefault="007D587C" w:rsidP="00445121">
      <w:pPr>
        <w:pStyle w:val="Cmsor2"/>
        <w:numPr>
          <w:ilvl w:val="1"/>
          <w:numId w:val="40"/>
        </w:numPr>
        <w:spacing w:before="240" w:after="120" w:line="240" w:lineRule="auto"/>
        <w:ind w:left="578" w:hanging="578"/>
        <w:jc w:val="both"/>
        <w:rPr>
          <w:rFonts w:ascii="Times New Roman" w:hAnsi="Times New Roman" w:cs="Times New Roman"/>
        </w:rPr>
      </w:pPr>
      <w:bookmarkStart w:id="113" w:name="_Toc145363774"/>
      <w:bookmarkStart w:id="114" w:name="_Toc145363846"/>
      <w:bookmarkStart w:id="115" w:name="_Toc145363903"/>
      <w:bookmarkStart w:id="116" w:name="_Toc145364443"/>
      <w:bookmarkStart w:id="117" w:name="_Toc145962960"/>
      <w:bookmarkEnd w:id="113"/>
      <w:bookmarkEnd w:id="114"/>
      <w:bookmarkEnd w:id="115"/>
      <w:bookmarkEnd w:id="116"/>
      <w:r w:rsidRPr="007D587C">
        <w:rPr>
          <w:rFonts w:ascii="Times New Roman" w:hAnsi="Times New Roman" w:cs="Times New Roman"/>
        </w:rPr>
        <w:t>A szervezeti kultúra fogalma, működése és jelentősége a szervezeti működésben</w:t>
      </w:r>
      <w:bookmarkEnd w:id="117"/>
    </w:p>
    <w:p w14:paraId="07149966" w14:textId="77777777" w:rsidR="007D587C" w:rsidRPr="007D587C" w:rsidRDefault="007D587C" w:rsidP="00445121">
      <w:pPr>
        <w:pStyle w:val="Cmsor3"/>
        <w:numPr>
          <w:ilvl w:val="2"/>
          <w:numId w:val="40"/>
        </w:numPr>
        <w:spacing w:before="120" w:after="120" w:line="240" w:lineRule="auto"/>
        <w:jc w:val="both"/>
        <w:rPr>
          <w:rFonts w:ascii="Times New Roman" w:hAnsi="Times New Roman" w:cs="Times New Roman"/>
        </w:rPr>
      </w:pPr>
      <w:bookmarkStart w:id="118" w:name="_Toc118745212"/>
      <w:bookmarkStart w:id="119" w:name="_Toc145962961"/>
      <w:bookmarkEnd w:id="112"/>
      <w:r w:rsidRPr="007D587C">
        <w:rPr>
          <w:rFonts w:ascii="Times New Roman" w:hAnsi="Times New Roman" w:cs="Times New Roman"/>
        </w:rPr>
        <w:t>Mi a szervezeti kultúra?</w:t>
      </w:r>
      <w:bookmarkEnd w:id="118"/>
      <w:bookmarkEnd w:id="119"/>
    </w:p>
    <w:p w14:paraId="3C4D8B16" w14:textId="77777777" w:rsidR="007D587C" w:rsidRPr="000F45B4" w:rsidRDefault="007D587C" w:rsidP="007D587C">
      <w:pPr>
        <w:spacing w:after="120"/>
        <w:jc w:val="both"/>
        <w:rPr>
          <w:rFonts w:ascii="Times New Roman" w:eastAsiaTheme="minorHAnsi" w:hAnsi="Times New Roman" w:cs="Times New Roman"/>
        </w:rPr>
      </w:pPr>
      <w:proofErr w:type="spellStart"/>
      <w:r w:rsidRPr="000F45B4">
        <w:rPr>
          <w:rFonts w:ascii="Times New Roman" w:eastAsiaTheme="minorHAnsi" w:hAnsi="Times New Roman" w:cs="Times New Roman"/>
        </w:rPr>
        <w:t>Schein</w:t>
      </w:r>
      <w:proofErr w:type="spellEnd"/>
      <w:r w:rsidRPr="000F45B4">
        <w:rPr>
          <w:rFonts w:ascii="Times New Roman" w:eastAsiaTheme="minorHAnsi" w:hAnsi="Times New Roman" w:cs="Times New Roman"/>
        </w:rPr>
        <w:t xml:space="preserve"> (2010) szerint a</w:t>
      </w:r>
      <w:r w:rsidRPr="000F45B4">
        <w:rPr>
          <w:rFonts w:ascii="Times New Roman" w:eastAsiaTheme="minorHAnsi" w:hAnsi="Times New Roman" w:cs="Times New Roman"/>
          <w:b/>
          <w:bCs/>
        </w:rPr>
        <w:t xml:space="preserve"> szervezeti </w:t>
      </w:r>
      <w:r w:rsidRPr="000F45B4">
        <w:rPr>
          <w:rFonts w:ascii="Times New Roman" w:eastAsiaTheme="minorHAnsi" w:hAnsi="Times New Roman" w:cs="Times New Roman"/>
        </w:rPr>
        <w:t>kultúra egy filozófia, normarendszer, amely alátámasztja a szervezet politikáját, a szervezeten belüli szabályokat, a munkahelyi klímát, sőt még a fizikai elrendezésre is hatással bír. A kultúra a szervezet „puha” tényezője. Hiedelmekre, közös értékekre, elfogadott magatartási szabályokra épül.</w:t>
      </w:r>
    </w:p>
    <w:p w14:paraId="05DDAB34"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kutatások szerint a szervezeti kultúra hat fő jellemző segítségével ragadható meg (Chatman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2014):</w:t>
      </w:r>
    </w:p>
    <w:p w14:paraId="23FDA60F" w14:textId="77777777" w:rsidR="007D587C" w:rsidRPr="000F45B4" w:rsidRDefault="007D587C" w:rsidP="00445121">
      <w:pPr>
        <w:pStyle w:val="Listaszerbekezds"/>
        <w:numPr>
          <w:ilvl w:val="0"/>
          <w:numId w:val="74"/>
        </w:numPr>
        <w:rPr>
          <w:rFonts w:cs="Times New Roman"/>
          <w:sz w:val="22"/>
        </w:rPr>
      </w:pPr>
      <w:r w:rsidRPr="000F45B4">
        <w:rPr>
          <w:rFonts w:cs="Times New Roman"/>
          <w:b/>
          <w:bCs/>
          <w:sz w:val="22"/>
        </w:rPr>
        <w:t>Alkalmazkodóképesség</w:t>
      </w:r>
      <w:r w:rsidRPr="000F45B4">
        <w:rPr>
          <w:rFonts w:cs="Times New Roman"/>
          <w:sz w:val="22"/>
        </w:rPr>
        <w:t xml:space="preserve">: milyen mértékben bátorítják a szervezet tagjait arra, hogy rugalmasak és </w:t>
      </w:r>
      <w:proofErr w:type="spellStart"/>
      <w:r w:rsidRPr="000F45B4">
        <w:rPr>
          <w:rFonts w:cs="Times New Roman"/>
          <w:sz w:val="22"/>
        </w:rPr>
        <w:t>innovatívak</w:t>
      </w:r>
      <w:proofErr w:type="spellEnd"/>
      <w:r w:rsidRPr="000F45B4">
        <w:rPr>
          <w:rFonts w:cs="Times New Roman"/>
          <w:sz w:val="22"/>
        </w:rPr>
        <w:t xml:space="preserve"> legyenek, merjenek kísérletezni, kockázatot vállalni.</w:t>
      </w:r>
    </w:p>
    <w:p w14:paraId="54D861D1" w14:textId="77777777" w:rsidR="007D587C" w:rsidRPr="000F45B4" w:rsidRDefault="007D587C" w:rsidP="00445121">
      <w:pPr>
        <w:pStyle w:val="Listaszerbekezds"/>
        <w:numPr>
          <w:ilvl w:val="0"/>
          <w:numId w:val="74"/>
        </w:numPr>
        <w:rPr>
          <w:rFonts w:cs="Times New Roman"/>
          <w:sz w:val="22"/>
        </w:rPr>
      </w:pPr>
      <w:r w:rsidRPr="000F45B4">
        <w:rPr>
          <w:rFonts w:cs="Times New Roman"/>
          <w:b/>
          <w:bCs/>
          <w:sz w:val="22"/>
        </w:rPr>
        <w:t>Részletorientáció</w:t>
      </w:r>
      <w:r w:rsidRPr="000F45B4">
        <w:rPr>
          <w:rFonts w:cs="Times New Roman"/>
          <w:sz w:val="22"/>
        </w:rPr>
        <w:t>: milyen mértékben várják el a munkavállalóktól a pontosságot, az elemzést és a részletekre való odafigyelést.</w:t>
      </w:r>
    </w:p>
    <w:p w14:paraId="0C2D7D00" w14:textId="77777777" w:rsidR="007D587C" w:rsidRPr="000F45B4" w:rsidRDefault="007D587C" w:rsidP="00445121">
      <w:pPr>
        <w:pStyle w:val="Listaszerbekezds"/>
        <w:numPr>
          <w:ilvl w:val="0"/>
          <w:numId w:val="74"/>
        </w:numPr>
        <w:rPr>
          <w:rFonts w:cs="Times New Roman"/>
          <w:sz w:val="22"/>
        </w:rPr>
      </w:pPr>
      <w:r w:rsidRPr="000F45B4">
        <w:rPr>
          <w:rFonts w:cs="Times New Roman"/>
          <w:b/>
          <w:bCs/>
          <w:sz w:val="22"/>
        </w:rPr>
        <w:t>Eredményorientáltság</w:t>
      </w:r>
      <w:r w:rsidRPr="000F45B4">
        <w:rPr>
          <w:rFonts w:cs="Times New Roman"/>
          <w:sz w:val="22"/>
        </w:rPr>
        <w:t>: milyen mértékben összpontosít a menedzsment inkább az eredményekre, mint azokra a technikákra, folyamatokra, amelyekkel elérik őket.</w:t>
      </w:r>
    </w:p>
    <w:p w14:paraId="482115F5" w14:textId="77777777" w:rsidR="007D587C" w:rsidRPr="000F45B4" w:rsidRDefault="007D587C" w:rsidP="00445121">
      <w:pPr>
        <w:pStyle w:val="Listaszerbekezds"/>
        <w:numPr>
          <w:ilvl w:val="0"/>
          <w:numId w:val="74"/>
        </w:numPr>
        <w:rPr>
          <w:rFonts w:cs="Times New Roman"/>
          <w:sz w:val="22"/>
        </w:rPr>
      </w:pPr>
      <w:r w:rsidRPr="000F45B4">
        <w:rPr>
          <w:rFonts w:cs="Times New Roman"/>
          <w:b/>
          <w:bCs/>
          <w:sz w:val="22"/>
        </w:rPr>
        <w:t>Ember/vevőközpontúság</w:t>
      </w:r>
      <w:r w:rsidRPr="000F45B4">
        <w:rPr>
          <w:rFonts w:cs="Times New Roman"/>
          <w:sz w:val="22"/>
        </w:rPr>
        <w:t>: milyen mértékben foglalkozik a menedzsment azzal, hogy a döntések milyen hatással vannak a szervezeten belüli és kívüli emberekre.</w:t>
      </w:r>
    </w:p>
    <w:p w14:paraId="3854313F" w14:textId="77777777" w:rsidR="007D587C" w:rsidRPr="000F45B4" w:rsidRDefault="007D587C" w:rsidP="00445121">
      <w:pPr>
        <w:pStyle w:val="Listaszerbekezds"/>
        <w:numPr>
          <w:ilvl w:val="0"/>
          <w:numId w:val="74"/>
        </w:numPr>
        <w:rPr>
          <w:rFonts w:cs="Times New Roman"/>
          <w:sz w:val="22"/>
        </w:rPr>
      </w:pPr>
      <w:r w:rsidRPr="000F45B4">
        <w:rPr>
          <w:rFonts w:cs="Times New Roman"/>
          <w:b/>
          <w:bCs/>
          <w:sz w:val="22"/>
        </w:rPr>
        <w:t>Együttműködés/csapatközpontúság</w:t>
      </w:r>
      <w:r w:rsidRPr="000F45B4">
        <w:rPr>
          <w:rFonts w:cs="Times New Roman"/>
          <w:sz w:val="22"/>
        </w:rPr>
        <w:t>: milyen mértékben szervezik a munkát inkább csapatok, mint az egyének köré.</w:t>
      </w:r>
    </w:p>
    <w:p w14:paraId="10F1FE2E" w14:textId="77777777" w:rsidR="007D587C" w:rsidRPr="000F45B4" w:rsidRDefault="007D587C" w:rsidP="00445121">
      <w:pPr>
        <w:pStyle w:val="Listaszerbekezds"/>
        <w:numPr>
          <w:ilvl w:val="0"/>
          <w:numId w:val="74"/>
        </w:numPr>
        <w:rPr>
          <w:rFonts w:cs="Times New Roman"/>
          <w:sz w:val="22"/>
        </w:rPr>
      </w:pPr>
      <w:r w:rsidRPr="000F45B4">
        <w:rPr>
          <w:rFonts w:cs="Times New Roman"/>
          <w:b/>
          <w:bCs/>
          <w:sz w:val="22"/>
        </w:rPr>
        <w:t>Integritás</w:t>
      </w:r>
      <w:r w:rsidRPr="000F45B4">
        <w:rPr>
          <w:rFonts w:cs="Times New Roman"/>
          <w:sz w:val="22"/>
        </w:rPr>
        <w:t>: milyen mértékben tanúsítanak a szervezet tagjai integritást és magas etikai normákat a munkájuk során.</w:t>
      </w:r>
    </w:p>
    <w:p w14:paraId="2EB0D858"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rPr>
        <w:t>Mindegyik jellemző felvehet alacsonytól magas értéket egy skálán. Egy szervezetnek az egyes szempontok mentén történő értékelése alapján megismerhető, hogy a szervezet tagjainak milyen közös felfogása van a szervezetről és mit gondolkodnak a szervezet működéséről, és arról, hogyan kell a szervezeti tagoknak viselkedniük.</w:t>
      </w:r>
    </w:p>
    <w:p w14:paraId="51687332"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rPr>
        <w:t>A szervezeti kultúra azt írja le, hogy a munkavállalók hogyan érzékelik egy szervezet jellemzőit, hogyan látják a szervezetüket (ösztönzi-e a csapatmunkát, jutalmazza-e az innovációt, elfojtja-e a kezdeményezőkészséget), nem pedig azt, hogy hogyan viszonyulnak ezekhez a jellemzőkhöz, kedvelik-e azokat, elégedettek-e a velük. Ezzel szemben a munkával való elégedettség például azt próbálja mérni, hogy a munkavállalók hogyan vélekednek a szervezet elvárásairól, jutalmazási gyakorlatáról és hasonlókról. Bár a két fogalomnak átfedő jellemzői vannak, a szervezeti kultúra leíró jellegű, mivel egy szervezetet jellemez, hasonlóan ahhoz, ahogyan a személyiségjegyek jellemzik az alkalmazottakat, a munkával való elégedettség pedig értékelő jellegű, mert lehet pozitív vagy negatív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2020).</w:t>
      </w:r>
    </w:p>
    <w:p w14:paraId="2F182D17"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szervezeti kultúráknak sokféle csoportosítása létezik, amelyek közül az egyik legelterjedtebb a Cameron és </w:t>
      </w:r>
      <w:proofErr w:type="spellStart"/>
      <w:r w:rsidRPr="000F45B4">
        <w:rPr>
          <w:rFonts w:ascii="Times New Roman" w:eastAsiaTheme="minorHAnsi" w:hAnsi="Times New Roman" w:cs="Times New Roman"/>
        </w:rPr>
        <w:t>Quinn</w:t>
      </w:r>
      <w:proofErr w:type="spellEnd"/>
      <w:r w:rsidRPr="000F45B4">
        <w:rPr>
          <w:rFonts w:ascii="Times New Roman" w:eastAsiaTheme="minorHAnsi" w:hAnsi="Times New Roman" w:cs="Times New Roman"/>
        </w:rPr>
        <w:t xml:space="preserve"> (1999) által kidolgozott kultúratipológia, amely négy típusát különbözteti meg a szervezeteknek. A típusok meghatározásának alapjául az szolgál, hogy a szervezetek belső vagy külső fókusszal rendelkeznek-e és hogy inkább a rugalmasság vagy a stabilitás jellemzi-e őket (1. ábra). A rugalmasság </w:t>
      </w:r>
      <w:proofErr w:type="spellStart"/>
      <w:r w:rsidRPr="000F45B4">
        <w:rPr>
          <w:rFonts w:ascii="Times New Roman" w:eastAsiaTheme="minorHAnsi" w:hAnsi="Times New Roman" w:cs="Times New Roman"/>
        </w:rPr>
        <w:t>vs</w:t>
      </w:r>
      <w:proofErr w:type="spellEnd"/>
      <w:r w:rsidRPr="000F45B4">
        <w:rPr>
          <w:rFonts w:ascii="Times New Roman" w:eastAsiaTheme="minorHAnsi" w:hAnsi="Times New Roman" w:cs="Times New Roman"/>
        </w:rPr>
        <w:t xml:space="preserve">. stabilitás dimenzió mentén az egyik pólust azok a kultúrák jelentik, amelyek a szervezeti eredményesség kulcsát a rugalmasságban, azaz az adott helyzethez való alkalmazkodásban, a változásban és a dinamizmusban látják. Az ilyen cégeknél sem a termékskála, sem a szervezeti forma nem marad hosszú távon állandó. A másik pólus a stabilitást, rendet és ellenőrzést középpontba helyező, kiszámíthatóságra törekvő szervezeti kultúrát tükrözi (egyetemek, kormányzati hivatalok, hatalmas ipari </w:t>
      </w:r>
      <w:r w:rsidRPr="000F45B4">
        <w:rPr>
          <w:rFonts w:ascii="Times New Roman" w:eastAsiaTheme="minorHAnsi" w:hAnsi="Times New Roman" w:cs="Times New Roman"/>
        </w:rPr>
        <w:lastRenderedPageBreak/>
        <w:t>konglomerátumok). A másik dimenzió mentén a belső orientációt követő szervezeti kultúrák az integrációt és egységességet, a belső jellemzőik harmóniáját hangsúlyozzák, míg a külső orientációval jellemezhetőknél a differenciáltságon és versengésen, a külső környezettel és versenytársakkal zajló interakciókon van a hangsúly.</w:t>
      </w:r>
    </w:p>
    <w:p w14:paraId="4D86A2B9"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b/>
          <w:bCs/>
          <w:noProof/>
        </w:rPr>
        <w:drawing>
          <wp:anchor distT="0" distB="0" distL="114300" distR="114300" simplePos="0" relativeHeight="251673600" behindDoc="0" locked="0" layoutInCell="1" allowOverlap="1" wp14:anchorId="46C2735E" wp14:editId="2CD0B6FD">
            <wp:simplePos x="0" y="0"/>
            <wp:positionH relativeFrom="column">
              <wp:posOffset>1713865</wp:posOffset>
            </wp:positionH>
            <wp:positionV relativeFrom="paragraph">
              <wp:posOffset>683047</wp:posOffset>
            </wp:positionV>
            <wp:extent cx="2659380" cy="2659380"/>
            <wp:effectExtent l="0" t="0" r="7620" b="7620"/>
            <wp:wrapTopAndBottom/>
            <wp:docPr id="1626425206" name="Picture 1626425206" descr="A diagram of a diagram&#10;&#10;Description automatically generated">
              <a:extLst xmlns:a="http://schemas.openxmlformats.org/drawingml/2006/main">
                <a:ext uri="{FF2B5EF4-FFF2-40B4-BE49-F238E27FC236}">
                  <a16:creationId xmlns:a16="http://schemas.microsoft.com/office/drawing/2014/main" id="{8CCA3935-4AA7-47D9-9840-7B01247EF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25206" name="Picture 1626425206" descr="A diagram of a diagram&#10;&#10;Description automatically generated">
                      <a:extLst>
                        <a:ext uri="{FF2B5EF4-FFF2-40B4-BE49-F238E27FC236}">
                          <a16:creationId xmlns:a16="http://schemas.microsoft.com/office/drawing/2014/main" id="{8CCA3935-4AA7-47D9-9840-7B01247EFBC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59380" cy="2659380"/>
                    </a:xfrm>
                    <a:prstGeom prst="rect">
                      <a:avLst/>
                    </a:prstGeom>
                  </pic:spPr>
                </pic:pic>
              </a:graphicData>
            </a:graphic>
          </wp:anchor>
        </w:drawing>
      </w:r>
      <w:r w:rsidRPr="000F45B4">
        <w:rPr>
          <w:rFonts w:ascii="Times New Roman" w:eastAsiaTheme="minorHAnsi" w:hAnsi="Times New Roman" w:cs="Times New Roman"/>
        </w:rPr>
        <w:t>A két dimenzió mentén elkülöníthető négyféle szervezeti kultúra eltérő feltételezésekkel, hiedelmekkel, értékekkel, tárgyi környezettel és eredményességi kritériumokkal jellemezhető.</w:t>
      </w:r>
    </w:p>
    <w:p w14:paraId="411D651B" w14:textId="77777777" w:rsidR="007D587C" w:rsidRPr="000F45B4" w:rsidRDefault="007D587C" w:rsidP="00445121">
      <w:pPr>
        <w:numPr>
          <w:ilvl w:val="0"/>
          <w:numId w:val="46"/>
        </w:numPr>
        <w:spacing w:after="120" w:line="240" w:lineRule="auto"/>
        <w:contextualSpacing/>
        <w:jc w:val="center"/>
        <w:rPr>
          <w:rFonts w:ascii="Times New Roman" w:eastAsiaTheme="minorHAnsi" w:hAnsi="Times New Roman" w:cs="Times New Roman"/>
        </w:rPr>
      </w:pPr>
      <w:r w:rsidRPr="000F45B4">
        <w:rPr>
          <w:rFonts w:ascii="Times New Roman" w:eastAsiaTheme="minorHAnsi" w:hAnsi="Times New Roman" w:cs="Times New Roman"/>
        </w:rPr>
        <w:t xml:space="preserve">ábra: Cameron és </w:t>
      </w:r>
      <w:proofErr w:type="spellStart"/>
      <w:r w:rsidRPr="000F45B4">
        <w:rPr>
          <w:rFonts w:ascii="Times New Roman" w:eastAsiaTheme="minorHAnsi" w:hAnsi="Times New Roman" w:cs="Times New Roman"/>
        </w:rPr>
        <w:t>Quinn</w:t>
      </w:r>
      <w:proofErr w:type="spellEnd"/>
      <w:r w:rsidRPr="000F45B4">
        <w:rPr>
          <w:rFonts w:ascii="Times New Roman" w:eastAsiaTheme="minorHAnsi" w:hAnsi="Times New Roman" w:cs="Times New Roman"/>
        </w:rPr>
        <w:t xml:space="preserve"> kultúra típusai (A versengő értékek modellje)</w:t>
      </w:r>
    </w:p>
    <w:p w14:paraId="1FBC84BE" w14:textId="77777777" w:rsidR="007D587C" w:rsidRPr="000F45B4" w:rsidRDefault="007D587C" w:rsidP="007D587C">
      <w:pPr>
        <w:spacing w:after="120"/>
        <w:ind w:left="720"/>
        <w:contextualSpacing/>
        <w:jc w:val="center"/>
        <w:rPr>
          <w:rFonts w:ascii="Times New Roman" w:eastAsiaTheme="minorHAnsi" w:hAnsi="Times New Roman" w:cs="Times New Roman"/>
          <w:i/>
          <w:iCs/>
        </w:rPr>
      </w:pPr>
      <w:r w:rsidRPr="000F45B4">
        <w:rPr>
          <w:rFonts w:ascii="Times New Roman" w:eastAsiaTheme="minorHAnsi" w:hAnsi="Times New Roman" w:cs="Times New Roman"/>
          <w:i/>
          <w:iCs/>
        </w:rPr>
        <w:t xml:space="preserve">Forrás: Cameron és </w:t>
      </w:r>
      <w:proofErr w:type="spellStart"/>
      <w:r w:rsidRPr="000F45B4">
        <w:rPr>
          <w:rFonts w:ascii="Times New Roman" w:eastAsiaTheme="minorHAnsi" w:hAnsi="Times New Roman" w:cs="Times New Roman"/>
          <w:i/>
          <w:iCs/>
        </w:rPr>
        <w:t>Quinn</w:t>
      </w:r>
      <w:proofErr w:type="spellEnd"/>
      <w:r w:rsidRPr="000F45B4">
        <w:rPr>
          <w:rFonts w:ascii="Times New Roman" w:eastAsiaTheme="minorHAnsi" w:hAnsi="Times New Roman" w:cs="Times New Roman"/>
          <w:i/>
          <w:iCs/>
        </w:rPr>
        <w:t xml:space="preserve"> (1999, p. 32)</w:t>
      </w:r>
    </w:p>
    <w:p w14:paraId="1E3D2EE3" w14:textId="77777777" w:rsidR="007D587C" w:rsidRPr="000F45B4" w:rsidRDefault="007D587C" w:rsidP="007D587C">
      <w:pPr>
        <w:spacing w:after="120"/>
        <w:ind w:left="720"/>
        <w:contextualSpacing/>
        <w:jc w:val="both"/>
        <w:rPr>
          <w:rFonts w:ascii="Times New Roman" w:eastAsiaTheme="minorHAnsi" w:hAnsi="Times New Roman" w:cs="Times New Roman"/>
        </w:rPr>
      </w:pPr>
    </w:p>
    <w:p w14:paraId="2C3C8758" w14:textId="77777777" w:rsidR="007D587C" w:rsidRPr="000F45B4" w:rsidRDefault="007D587C" w:rsidP="00445121">
      <w:pPr>
        <w:numPr>
          <w:ilvl w:val="0"/>
          <w:numId w:val="43"/>
        </w:numPr>
        <w:contextualSpacing/>
        <w:jc w:val="both"/>
        <w:rPr>
          <w:rFonts w:ascii="Times New Roman" w:eastAsiaTheme="minorHAnsi" w:hAnsi="Times New Roman" w:cs="Times New Roman"/>
        </w:rPr>
      </w:pPr>
      <w:r w:rsidRPr="000F45B4">
        <w:rPr>
          <w:rFonts w:ascii="Times New Roman" w:eastAsiaTheme="minorHAnsi" w:hAnsi="Times New Roman" w:cs="Times New Roman"/>
          <w:b/>
          <w:bCs/>
        </w:rPr>
        <w:t>Klán kultúra</w:t>
      </w:r>
      <w:r w:rsidRPr="000F45B4">
        <w:rPr>
          <w:rFonts w:ascii="Times New Roman" w:eastAsiaTheme="minorHAnsi" w:hAnsi="Times New Roman" w:cs="Times New Roman"/>
        </w:rPr>
        <w:t xml:space="preserve">: Az emberi hovatartozáson alapuló kultúra, ahol az alkalmazottak értékelik a kötődést, az együttműködést, a bizalmat és a támogatást. </w:t>
      </w:r>
    </w:p>
    <w:p w14:paraId="2920FC62" w14:textId="77777777" w:rsidR="007D587C" w:rsidRPr="000F45B4" w:rsidRDefault="007D587C" w:rsidP="00445121">
      <w:pPr>
        <w:numPr>
          <w:ilvl w:val="0"/>
          <w:numId w:val="43"/>
        </w:numPr>
        <w:contextualSpacing/>
        <w:jc w:val="both"/>
        <w:rPr>
          <w:rFonts w:ascii="Times New Roman" w:eastAsiaTheme="minorHAnsi" w:hAnsi="Times New Roman" w:cs="Times New Roman"/>
        </w:rPr>
      </w:pPr>
      <w:proofErr w:type="spellStart"/>
      <w:r w:rsidRPr="000F45B4">
        <w:rPr>
          <w:rFonts w:ascii="Times New Roman" w:eastAsiaTheme="minorHAnsi" w:hAnsi="Times New Roman" w:cs="Times New Roman"/>
          <w:b/>
          <w:bCs/>
        </w:rPr>
        <w:t>Adhokrácia</w:t>
      </w:r>
      <w:proofErr w:type="spellEnd"/>
      <w:r w:rsidRPr="000F45B4">
        <w:rPr>
          <w:rFonts w:ascii="Times New Roman" w:eastAsiaTheme="minorHAnsi" w:hAnsi="Times New Roman" w:cs="Times New Roman"/>
          <w:b/>
          <w:bCs/>
        </w:rPr>
        <w:t xml:space="preserve"> kultúra</w:t>
      </w:r>
      <w:r w:rsidRPr="000F45B4">
        <w:rPr>
          <w:rFonts w:ascii="Times New Roman" w:eastAsiaTheme="minorHAnsi" w:hAnsi="Times New Roman" w:cs="Times New Roman"/>
        </w:rPr>
        <w:t>: A változáson alapuló kultúra, ahol az alkalmazottak értékelik a növekedést, a változatosságot, a részletekre való odafigyelést, az ösztönzést és az önállóságot.</w:t>
      </w:r>
    </w:p>
    <w:p w14:paraId="717F0507" w14:textId="77777777" w:rsidR="007D587C" w:rsidRPr="000F45B4" w:rsidRDefault="007D587C" w:rsidP="00445121">
      <w:pPr>
        <w:numPr>
          <w:ilvl w:val="0"/>
          <w:numId w:val="43"/>
        </w:numPr>
        <w:contextualSpacing/>
        <w:jc w:val="both"/>
        <w:rPr>
          <w:rFonts w:ascii="Times New Roman" w:eastAsiaTheme="minorHAnsi" w:hAnsi="Times New Roman" w:cs="Times New Roman"/>
        </w:rPr>
      </w:pPr>
      <w:r w:rsidRPr="000F45B4">
        <w:rPr>
          <w:rFonts w:ascii="Times New Roman" w:eastAsiaTheme="minorHAnsi" w:hAnsi="Times New Roman" w:cs="Times New Roman"/>
          <w:b/>
          <w:bCs/>
        </w:rPr>
        <w:t>Piac kultúra</w:t>
      </w:r>
      <w:r w:rsidRPr="000F45B4">
        <w:rPr>
          <w:rFonts w:ascii="Times New Roman" w:eastAsiaTheme="minorHAnsi" w:hAnsi="Times New Roman" w:cs="Times New Roman"/>
        </w:rPr>
        <w:t xml:space="preserve">: A teljesítményen alapuló kultúra, ahol az alkalmazottak értékelik a kommunikációt, a kompetenciát és a versenyt. </w:t>
      </w:r>
    </w:p>
    <w:p w14:paraId="30F0DE0C" w14:textId="77777777" w:rsidR="007D587C" w:rsidRPr="000F45B4" w:rsidRDefault="007D587C" w:rsidP="00445121">
      <w:pPr>
        <w:numPr>
          <w:ilvl w:val="0"/>
          <w:numId w:val="43"/>
        </w:numPr>
        <w:contextualSpacing/>
        <w:jc w:val="both"/>
        <w:rPr>
          <w:rFonts w:ascii="Times New Roman" w:eastAsiaTheme="minorHAnsi" w:hAnsi="Times New Roman" w:cs="Times New Roman"/>
        </w:rPr>
      </w:pPr>
      <w:r w:rsidRPr="000F45B4">
        <w:rPr>
          <w:rFonts w:ascii="Times New Roman" w:eastAsiaTheme="minorHAnsi" w:hAnsi="Times New Roman" w:cs="Times New Roman"/>
          <w:b/>
          <w:bCs/>
        </w:rPr>
        <w:t>Hierarchia kultúra</w:t>
      </w:r>
      <w:r w:rsidRPr="000F45B4">
        <w:rPr>
          <w:rFonts w:ascii="Times New Roman" w:eastAsiaTheme="minorHAnsi" w:hAnsi="Times New Roman" w:cs="Times New Roman"/>
        </w:rPr>
        <w:t xml:space="preserve">: A stabilitáson alapuló kultúra, ahol az alkalmazottak értékelik a kommunikációt, a </w:t>
      </w:r>
      <w:proofErr w:type="spellStart"/>
      <w:r w:rsidRPr="000F45B4">
        <w:rPr>
          <w:rFonts w:ascii="Times New Roman" w:eastAsiaTheme="minorHAnsi" w:hAnsi="Times New Roman" w:cs="Times New Roman"/>
        </w:rPr>
        <w:t>formalizációt</w:t>
      </w:r>
      <w:proofErr w:type="spellEnd"/>
      <w:r w:rsidRPr="000F45B4">
        <w:rPr>
          <w:rFonts w:ascii="Times New Roman" w:eastAsiaTheme="minorHAnsi" w:hAnsi="Times New Roman" w:cs="Times New Roman"/>
        </w:rPr>
        <w:t xml:space="preserve"> és a rutint. </w:t>
      </w:r>
    </w:p>
    <w:p w14:paraId="2383399E"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klán, </w:t>
      </w:r>
      <w:proofErr w:type="spellStart"/>
      <w:r w:rsidRPr="000F45B4">
        <w:rPr>
          <w:rFonts w:ascii="Times New Roman" w:eastAsiaTheme="minorHAnsi" w:hAnsi="Times New Roman" w:cs="Times New Roman"/>
        </w:rPr>
        <w:t>adhokrácia</w:t>
      </w:r>
      <w:proofErr w:type="spellEnd"/>
      <w:r w:rsidRPr="000F45B4">
        <w:rPr>
          <w:rFonts w:ascii="Times New Roman" w:eastAsiaTheme="minorHAnsi" w:hAnsi="Times New Roman" w:cs="Times New Roman"/>
        </w:rPr>
        <w:t xml:space="preserve"> és piac kultúrákról szóló korábbi tanulmányok áttekintése (a hierarchia kultúrákról nincs elég adat ezzel kapcsolatban) azt mutatja, hogy a munkavállalók általában </w:t>
      </w:r>
      <w:proofErr w:type="spellStart"/>
      <w:r w:rsidRPr="000F45B4">
        <w:rPr>
          <w:rFonts w:ascii="Times New Roman" w:eastAsiaTheme="minorHAnsi" w:hAnsi="Times New Roman" w:cs="Times New Roman"/>
        </w:rPr>
        <w:t>elkötelezettebbek</w:t>
      </w:r>
      <w:proofErr w:type="spellEnd"/>
      <w:r w:rsidRPr="000F45B4">
        <w:rPr>
          <w:rFonts w:ascii="Times New Roman" w:eastAsiaTheme="minorHAnsi" w:hAnsi="Times New Roman" w:cs="Times New Roman"/>
        </w:rPr>
        <w:t xml:space="preserve"> és elégedettebbek a klán kultúrával. A piac és klán kultúrák jellemzően innovatívabbak, de mind a hármat magas minőségi termékek és szolgáltatások jellemzik.</w:t>
      </w:r>
    </w:p>
    <w:p w14:paraId="7C463245"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rPr>
        <w:t>A szervezeti kultúra a szervezet tagjainak közös észlelését, felfogásást jelenti, ezért a szervezeti kultúrára vonatkozó kijelentések csak akkor érvényesek, ha a szervezet különböző szintjein lévő egyének hasonlóan írják le a kultúrát. Például a beszerzési részlegnek lehet olyan szubkultúrája, amely magában foglalja az uralkodó kultúra alapvető értékeit, például az agresszivitást, valamint az adott részleg tagjaira jellemző további egyedi értékeket, például a kockázatvállalást.</w:t>
      </w:r>
    </w:p>
    <w:p w14:paraId="2C037309" w14:textId="77777777" w:rsidR="007D587C" w:rsidRPr="000F45B4" w:rsidRDefault="007D587C" w:rsidP="007D587C">
      <w:pPr>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Az </w:t>
      </w:r>
      <w:r w:rsidRPr="000F45B4">
        <w:rPr>
          <w:rFonts w:ascii="Times New Roman" w:eastAsiaTheme="minorHAnsi" w:hAnsi="Times New Roman" w:cs="Times New Roman"/>
          <w:b/>
          <w:bCs/>
        </w:rPr>
        <w:t>uralkodó kultúra</w:t>
      </w:r>
      <w:r w:rsidRPr="000F45B4">
        <w:rPr>
          <w:rFonts w:ascii="Times New Roman" w:eastAsiaTheme="minorHAnsi" w:hAnsi="Times New Roman" w:cs="Times New Roman"/>
        </w:rPr>
        <w:t xml:space="preserve"> fejezi ki azokat az </w:t>
      </w:r>
      <w:r w:rsidRPr="000F45B4">
        <w:rPr>
          <w:rFonts w:ascii="Times New Roman" w:eastAsiaTheme="minorHAnsi" w:hAnsi="Times New Roman" w:cs="Times New Roman"/>
          <w:b/>
          <w:bCs/>
        </w:rPr>
        <w:t>alapvető értékek</w:t>
      </w:r>
      <w:r w:rsidRPr="000F45B4">
        <w:rPr>
          <w:rFonts w:ascii="Times New Roman" w:eastAsiaTheme="minorHAnsi" w:hAnsi="Times New Roman" w:cs="Times New Roman"/>
        </w:rPr>
        <w:t xml:space="preserve">et, amelyekben a tagok többsége osztozik, és amelyek a szervezet sajátos személyiségét adják. A </w:t>
      </w:r>
      <w:r w:rsidRPr="000F45B4">
        <w:rPr>
          <w:rFonts w:ascii="Times New Roman" w:eastAsiaTheme="minorHAnsi" w:hAnsi="Times New Roman" w:cs="Times New Roman"/>
          <w:b/>
          <w:bCs/>
        </w:rPr>
        <w:t>szubkultúrák</w:t>
      </w:r>
      <w:r w:rsidRPr="000F45B4">
        <w:rPr>
          <w:rFonts w:ascii="Times New Roman" w:eastAsiaTheme="minorHAnsi" w:hAnsi="Times New Roman" w:cs="Times New Roman"/>
        </w:rPr>
        <w:t xml:space="preserve"> a nagy szervezetekben általában olyan közös problémákra vagy tapasztalatokra adott válaszként alakulnak ki, amelyekkel a tagok egy csoportja ugyanazon a részlegen vagy helyen szembesül. A legtöbb nagy szervezetnek van egy domináns kultúrája és számos szubkultúrája (Hoffman &amp; Jones, 2005). Előfordul, hogy a szubkultúrák olyan erősek egy szervezetben, hogy finoman elutasítják a hivatalos kultúrát, és nem igazodnak hozzá. Ha a szervezetek csak szubkultúrákból állnának, a domináns szervezeti kultúrának lényegesen kisebb </w:t>
      </w:r>
      <w:r w:rsidRPr="000F45B4">
        <w:rPr>
          <w:rFonts w:ascii="Times New Roman" w:eastAsiaTheme="minorHAnsi" w:hAnsi="Times New Roman" w:cs="Times New Roman"/>
        </w:rPr>
        <w:lastRenderedPageBreak/>
        <w:t xml:space="preserve">jelentősége lenne. Martin és </w:t>
      </w:r>
      <w:proofErr w:type="spellStart"/>
      <w:r w:rsidRPr="000F45B4">
        <w:rPr>
          <w:rFonts w:ascii="Times New Roman" w:eastAsiaTheme="minorHAnsi" w:hAnsi="Times New Roman" w:cs="Times New Roman"/>
        </w:rPr>
        <w:t>Siehl</w:t>
      </w:r>
      <w:proofErr w:type="spellEnd"/>
      <w:r w:rsidRPr="000F45B4">
        <w:rPr>
          <w:rFonts w:ascii="Times New Roman" w:eastAsiaTheme="minorHAnsi" w:hAnsi="Times New Roman" w:cs="Times New Roman"/>
        </w:rPr>
        <w:t xml:space="preserve"> (1983) a szubkultúrák három típusát azonosította: </w:t>
      </w:r>
      <w:r w:rsidRPr="000F45B4">
        <w:rPr>
          <w:rFonts w:ascii="Times New Roman" w:eastAsiaTheme="minorHAnsi" w:hAnsi="Times New Roman" w:cs="Times New Roman"/>
          <w:b/>
          <w:bCs/>
        </w:rPr>
        <w:t>a támogató, a semleges és az ellenkultúrát</w:t>
      </w:r>
      <w:r w:rsidRPr="000F45B4">
        <w:rPr>
          <w:rFonts w:ascii="Times New Roman" w:eastAsiaTheme="minorHAnsi" w:hAnsi="Times New Roman" w:cs="Times New Roman"/>
        </w:rPr>
        <w:t xml:space="preserve">. A </w:t>
      </w:r>
      <w:r w:rsidRPr="000F45B4">
        <w:rPr>
          <w:rFonts w:ascii="Times New Roman" w:eastAsiaTheme="minorHAnsi" w:hAnsi="Times New Roman" w:cs="Times New Roman"/>
          <w:b/>
          <w:bCs/>
        </w:rPr>
        <w:t>támogató szubkultúrák</w:t>
      </w:r>
      <w:r w:rsidRPr="000F45B4">
        <w:rPr>
          <w:rFonts w:ascii="Times New Roman" w:eastAsiaTheme="minorHAnsi" w:hAnsi="Times New Roman" w:cs="Times New Roman"/>
        </w:rPr>
        <w:t xml:space="preserve">ban az alkalmazottak erősen ragaszkodnak az uralkodó kultúra fő értékeihez és hiedelmeihez. A </w:t>
      </w:r>
      <w:r w:rsidRPr="000F45B4">
        <w:rPr>
          <w:rFonts w:ascii="Times New Roman" w:eastAsiaTheme="minorHAnsi" w:hAnsi="Times New Roman" w:cs="Times New Roman"/>
          <w:b/>
          <w:bCs/>
        </w:rPr>
        <w:t>semleges szubkultúrák</w:t>
      </w:r>
      <w:r w:rsidRPr="000F45B4">
        <w:rPr>
          <w:rFonts w:ascii="Times New Roman" w:eastAsiaTheme="minorHAnsi" w:hAnsi="Times New Roman" w:cs="Times New Roman"/>
        </w:rPr>
        <w:t xml:space="preserve"> akkor fordulnak elő, amikor az alkalmazottak ragaszkodnak mindkét kultúrához, a domináns szervezeti kultúrához és egy másik, nem ellentétes, különálló kultúrához is. Az </w:t>
      </w:r>
      <w:r w:rsidRPr="000F45B4">
        <w:rPr>
          <w:rFonts w:ascii="Times New Roman" w:eastAsiaTheme="minorHAnsi" w:hAnsi="Times New Roman" w:cs="Times New Roman"/>
          <w:b/>
          <w:bCs/>
        </w:rPr>
        <w:t>ellenkultúra</w:t>
      </w:r>
      <w:r w:rsidRPr="000F45B4">
        <w:rPr>
          <w:rFonts w:ascii="Times New Roman" w:eastAsiaTheme="minorHAnsi" w:hAnsi="Times New Roman" w:cs="Times New Roman"/>
        </w:rPr>
        <w:t xml:space="preserve"> közvetlen kihívást jelent a domináns kultúrával szemben. Ez a szubkultúra a felső vezetés nézeteivel és meggyőződéseivel szembeni ellenállás zugait rejti, különösen akkor, amikor a szervezet bizonyos változtatásokat hajt végre.</w:t>
      </w:r>
      <w:r w:rsidRPr="000F45B4">
        <w:rPr>
          <w:rFonts w:ascii="Times New Roman" w:eastAsiaTheme="minorHAnsi" w:hAnsi="Times New Roman" w:cs="Times New Roman"/>
          <w:b/>
          <w:bCs/>
        </w:rPr>
        <w:t xml:space="preserve"> </w:t>
      </w:r>
      <w:r w:rsidRPr="000F45B4">
        <w:rPr>
          <w:rFonts w:ascii="Times New Roman" w:eastAsiaTheme="minorHAnsi" w:hAnsi="Times New Roman" w:cs="Times New Roman"/>
        </w:rPr>
        <w:t xml:space="preserve">Mivel a szubkultúrák általában szétszórtan helyezkednek el a szervezetben, gyakran egy adott szubkultúraegység tagjai nem figyelnek oda a szervezetben létező más szubkultúrákra, ami konfliktusokat idézhet elő (Gregory, 1983; Van </w:t>
      </w:r>
      <w:proofErr w:type="spellStart"/>
      <w:r w:rsidRPr="000F45B4">
        <w:rPr>
          <w:rFonts w:ascii="Times New Roman" w:eastAsiaTheme="minorHAnsi" w:hAnsi="Times New Roman" w:cs="Times New Roman"/>
        </w:rPr>
        <w:t>Maanen</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Barley</w:t>
      </w:r>
      <w:proofErr w:type="spellEnd"/>
      <w:r w:rsidRPr="000F45B4">
        <w:rPr>
          <w:rFonts w:ascii="Times New Roman" w:eastAsiaTheme="minorHAnsi" w:hAnsi="Times New Roman" w:cs="Times New Roman"/>
        </w:rPr>
        <w:t xml:space="preserve">, 1985) és súlyos együttműködési és koordinációs problémákhoz vezethet (Gregory, 1983). Ezeket a konfliktusokat nehéz kezelni, mivel az egyes szubkultúráknak különböző céljaik vannak, amelyek néha közvetlenül ellentétesek egymással. E kulturális dilemma feloldására </w:t>
      </w:r>
      <w:proofErr w:type="spellStart"/>
      <w:r w:rsidRPr="000F45B4">
        <w:rPr>
          <w:rFonts w:ascii="Times New Roman" w:eastAsiaTheme="minorHAnsi" w:hAnsi="Times New Roman" w:cs="Times New Roman"/>
        </w:rPr>
        <w:t>Kilmann</w:t>
      </w:r>
      <w:proofErr w:type="spellEnd"/>
      <w:r w:rsidRPr="000F45B4">
        <w:rPr>
          <w:rFonts w:ascii="Times New Roman" w:eastAsiaTheme="minorHAnsi" w:hAnsi="Times New Roman" w:cs="Times New Roman"/>
        </w:rPr>
        <w:t xml:space="preserve"> (1989) azt javasolta, hogy minden részleg alakítsa ki saját szubkultúráját, amely a saját erkölcsének és hatékonyságának kedvez. Ugyanakkor azonban arra kell ösztönözni ezeket a részlegeket, hogy fogadják el a szervezet egészére kiterjedő értékeket és normákat, amelyek elősegítik a szervezet jólétét. Ez a vita azt jelzi, hogy jobban meg kell érteni a bármely szervezetben létező szubkultúrák természetét és típusait, mert ez segít megmagyarázni egy adott részleg vagy munkacsoport alkalmazottainak viselkedését és hozzáállását.</w:t>
      </w:r>
    </w:p>
    <w:p w14:paraId="1B60DE63"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Ha a legtöbb alkalmazottnak ugyanaz a véleménye a szervezet küldetéséről és értékeiről, akkor a kultúra </w:t>
      </w:r>
      <w:r w:rsidRPr="000F45B4">
        <w:rPr>
          <w:rFonts w:ascii="Times New Roman" w:eastAsiaTheme="minorHAnsi" w:hAnsi="Times New Roman" w:cs="Times New Roman"/>
          <w:b/>
          <w:bCs/>
        </w:rPr>
        <w:t>erős</w:t>
      </w:r>
      <w:r w:rsidRPr="000F45B4">
        <w:rPr>
          <w:rFonts w:ascii="Times New Roman" w:eastAsiaTheme="minorHAnsi" w:hAnsi="Times New Roman" w:cs="Times New Roman"/>
        </w:rPr>
        <w:t xml:space="preserve">; ha a vélemények nagymértékben eltérnek, akkor a kultúra </w:t>
      </w:r>
      <w:r w:rsidRPr="000F45B4">
        <w:rPr>
          <w:rFonts w:ascii="Times New Roman" w:eastAsiaTheme="minorHAnsi" w:hAnsi="Times New Roman" w:cs="Times New Roman"/>
          <w:b/>
          <w:bCs/>
        </w:rPr>
        <w:t>gyenge</w:t>
      </w:r>
      <w:r w:rsidRPr="000F45B4">
        <w:rPr>
          <w:rFonts w:ascii="Times New Roman" w:eastAsiaTheme="minorHAnsi" w:hAnsi="Times New Roman" w:cs="Times New Roman"/>
        </w:rPr>
        <w:t xml:space="preserve">. Az erős kultúra közvetlenebb hatással van a szervezeti eredményekre, mivel nagyfokú egyetértésről tanúskodik azzal kapcsolatban, amit a szervezet képvisel és ez összetartást, lojalitást, értelmet és szervezeti elkötelezettséget teremt (Schneider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2002). Egy 137 szervezet közel 90 000 munkavállalóját vizsgáló tanulmány megállapította, hogy a kultúra erőssége vagy következetessége összefügg a pénzügyi teljesítménnyel, ha erős volt a küldetéstudat és magas fokú dolgozók bevonása (</w:t>
      </w:r>
      <w:proofErr w:type="spellStart"/>
      <w:r w:rsidRPr="000F45B4">
        <w:rPr>
          <w:rFonts w:ascii="Times New Roman" w:eastAsiaTheme="minorHAnsi" w:hAnsi="Times New Roman" w:cs="Times New Roman"/>
        </w:rPr>
        <w:t>Kotrba</w:t>
      </w:r>
      <w:proofErr w:type="spellEnd"/>
      <w:r w:rsidRPr="000F45B4">
        <w:rPr>
          <w:rFonts w:ascii="Times New Roman" w:eastAsiaTheme="minorHAnsi" w:hAnsi="Times New Roman" w:cs="Times New Roman"/>
        </w:rPr>
        <w:t>, 2012).</w:t>
      </w:r>
    </w:p>
    <w:p w14:paraId="6E4045B1"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szervezet tagjai olyan tényezők alapján alakítják ki a szervezet általános szubjektív megítélését, mint az észlelt kockázatvállalás, a csapatközpontúság, részletorientáltság stb. (2. ábra) Ez az általános megítélés tulajdonképpen a szervezet kultúráját vagy személyiségét jelenti, és befolyásolja a munkavállalók teljesítményét és elégedettségét. Az erősebb szervezeti kultúráknak nagyobb hatása van az egyes munkavállalók teljesítményére és elégedettségére.</w:t>
      </w:r>
    </w:p>
    <w:p w14:paraId="32BE8D50"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noProof/>
          <w:sz w:val="10"/>
          <w:szCs w:val="10"/>
          <w14:ligatures w14:val="standardContextual"/>
        </w:rPr>
        <w:drawing>
          <wp:anchor distT="0" distB="0" distL="114300" distR="114300" simplePos="0" relativeHeight="251674624" behindDoc="0" locked="0" layoutInCell="1" allowOverlap="1" wp14:anchorId="5E08D995" wp14:editId="30D3D4D5">
            <wp:simplePos x="0" y="0"/>
            <wp:positionH relativeFrom="column">
              <wp:posOffset>562610</wp:posOffset>
            </wp:positionH>
            <wp:positionV relativeFrom="paragraph">
              <wp:posOffset>125144</wp:posOffset>
            </wp:positionV>
            <wp:extent cx="4827270" cy="1283335"/>
            <wp:effectExtent l="0" t="0" r="0" b="0"/>
            <wp:wrapSquare wrapText="bothSides"/>
            <wp:docPr id="845481517" name="Kép 2" descr="A képen szöveg, névjegykártya, képernyőkép,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81517" name="Kép 2" descr="A képen szöveg, névjegykártya, képernyőkép, Betűtípus látható&#10;&#10;Automatikusan generált leírás"/>
                    <pic:cNvPicPr/>
                  </pic:nvPicPr>
                  <pic:blipFill rotWithShape="1">
                    <a:blip r:embed="rId39" cstate="print">
                      <a:extLst>
                        <a:ext uri="{28A0092B-C50C-407E-A947-70E740481C1C}">
                          <a14:useLocalDpi xmlns:a14="http://schemas.microsoft.com/office/drawing/2010/main" val="0"/>
                        </a:ext>
                      </a:extLst>
                    </a:blip>
                    <a:srcRect l="-292" t="31140" r="292" b="21506"/>
                    <a:stretch/>
                  </pic:blipFill>
                  <pic:spPr bwMode="auto">
                    <a:xfrm>
                      <a:off x="0" y="0"/>
                      <a:ext cx="4827270" cy="128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01333" w14:textId="77777777" w:rsidR="007D587C" w:rsidRPr="000F45B4" w:rsidRDefault="007D587C" w:rsidP="00445121">
      <w:pPr>
        <w:numPr>
          <w:ilvl w:val="0"/>
          <w:numId w:val="46"/>
        </w:numPr>
        <w:spacing w:after="120" w:line="240" w:lineRule="auto"/>
        <w:contextualSpacing/>
        <w:jc w:val="center"/>
        <w:rPr>
          <w:rFonts w:ascii="Times New Roman" w:eastAsiaTheme="minorHAnsi" w:hAnsi="Times New Roman" w:cs="Times New Roman"/>
        </w:rPr>
      </w:pPr>
      <w:r w:rsidRPr="000F45B4">
        <w:rPr>
          <w:rFonts w:ascii="Times New Roman" w:eastAsiaTheme="minorHAnsi" w:hAnsi="Times New Roman" w:cs="Times New Roman"/>
        </w:rPr>
        <w:t>ábra: A szervezeti kultúra hatása a munkavállalók teljesítményére és elégedettségére</w:t>
      </w:r>
    </w:p>
    <w:p w14:paraId="5C2D5CE6" w14:textId="77777777" w:rsidR="007D587C" w:rsidRPr="000F45B4" w:rsidRDefault="007D587C" w:rsidP="007D587C">
      <w:pPr>
        <w:spacing w:after="120"/>
        <w:jc w:val="center"/>
        <w:rPr>
          <w:rFonts w:ascii="Times New Roman" w:eastAsiaTheme="minorHAnsi" w:hAnsi="Times New Roman" w:cs="Times New Roman"/>
          <w:i/>
          <w:iCs/>
        </w:rPr>
      </w:pPr>
      <w:r w:rsidRPr="000F45B4">
        <w:rPr>
          <w:rFonts w:ascii="Times New Roman" w:eastAsiaTheme="minorHAnsi" w:hAnsi="Times New Roman" w:cs="Times New Roman"/>
          <w:i/>
          <w:iCs/>
        </w:rPr>
        <w:t xml:space="preserve">Forrás: </w:t>
      </w:r>
      <w:proofErr w:type="spellStart"/>
      <w:r w:rsidRPr="000F45B4">
        <w:rPr>
          <w:rFonts w:ascii="Times New Roman" w:eastAsiaTheme="minorHAnsi" w:hAnsi="Times New Roman" w:cs="Times New Roman"/>
          <w:i/>
          <w:iCs/>
        </w:rPr>
        <w:t>Robbins</w:t>
      </w:r>
      <w:proofErr w:type="spellEnd"/>
      <w:r w:rsidRPr="000F45B4">
        <w:rPr>
          <w:rFonts w:ascii="Times New Roman" w:eastAsiaTheme="minorHAnsi" w:hAnsi="Times New Roman" w:cs="Times New Roman"/>
          <w:i/>
          <w:iCs/>
        </w:rPr>
        <w:t xml:space="preserve"> &amp; </w:t>
      </w:r>
      <w:proofErr w:type="spellStart"/>
      <w:r w:rsidRPr="000F45B4">
        <w:rPr>
          <w:rFonts w:ascii="Times New Roman" w:eastAsiaTheme="minorHAnsi" w:hAnsi="Times New Roman" w:cs="Times New Roman"/>
          <w:i/>
          <w:iCs/>
        </w:rPr>
        <w:t>Judge</w:t>
      </w:r>
      <w:proofErr w:type="spellEnd"/>
      <w:r w:rsidRPr="000F45B4">
        <w:rPr>
          <w:rFonts w:ascii="Times New Roman" w:eastAsiaTheme="minorHAnsi" w:hAnsi="Times New Roman" w:cs="Times New Roman"/>
          <w:i/>
          <w:iCs/>
        </w:rPr>
        <w:t>, (2020, p. 589)</w:t>
      </w:r>
    </w:p>
    <w:p w14:paraId="5351C76F" w14:textId="77777777" w:rsidR="007D587C" w:rsidRPr="007D587C" w:rsidRDefault="007D587C" w:rsidP="00445121">
      <w:pPr>
        <w:pStyle w:val="Cmsor3"/>
        <w:numPr>
          <w:ilvl w:val="2"/>
          <w:numId w:val="40"/>
        </w:numPr>
        <w:spacing w:before="120" w:after="120" w:line="240" w:lineRule="auto"/>
        <w:jc w:val="both"/>
        <w:rPr>
          <w:rFonts w:ascii="Times New Roman" w:hAnsi="Times New Roman" w:cs="Times New Roman"/>
        </w:rPr>
      </w:pPr>
      <w:bookmarkStart w:id="120" w:name="_Toc145962924"/>
      <w:bookmarkStart w:id="121" w:name="_Toc145962962"/>
      <w:bookmarkStart w:id="122" w:name="_Toc118745213"/>
      <w:bookmarkStart w:id="123" w:name="_Toc145962963"/>
      <w:bookmarkEnd w:id="120"/>
      <w:bookmarkEnd w:id="121"/>
      <w:r w:rsidRPr="007D587C">
        <w:rPr>
          <w:rFonts w:ascii="Times New Roman" w:hAnsi="Times New Roman" w:cs="Times New Roman"/>
        </w:rPr>
        <w:t>Hogyan működik a kultúra? Hogyan hat a szervezet tagjainak hozzáállására, viselkedésére?</w:t>
      </w:r>
      <w:bookmarkEnd w:id="122"/>
      <w:bookmarkEnd w:id="123"/>
    </w:p>
    <w:p w14:paraId="035CCC0A"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szervezeti kultúra határozza meg a játékszabályokat azzal, hogy … </w:t>
      </w:r>
    </w:p>
    <w:p w14:paraId="1A0C3F87" w14:textId="77777777" w:rsidR="007D587C" w:rsidRPr="000F45B4" w:rsidRDefault="007D587C" w:rsidP="00445121">
      <w:pPr>
        <w:numPr>
          <w:ilvl w:val="0"/>
          <w:numId w:val="44"/>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t xml:space="preserve">kijelöli a határokat: különbséget tesz a szervezetek között. </w:t>
      </w:r>
    </w:p>
    <w:p w14:paraId="62EDD1BE" w14:textId="77777777" w:rsidR="007D587C" w:rsidRPr="000F45B4" w:rsidRDefault="007D587C" w:rsidP="00445121">
      <w:pPr>
        <w:numPr>
          <w:ilvl w:val="0"/>
          <w:numId w:val="44"/>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t>identitástudatot közvetít a szervezet tagjai számára.</w:t>
      </w:r>
    </w:p>
    <w:p w14:paraId="58944C99" w14:textId="77777777" w:rsidR="007D587C" w:rsidRPr="000F45B4" w:rsidRDefault="007D587C" w:rsidP="00445121">
      <w:pPr>
        <w:numPr>
          <w:ilvl w:val="0"/>
          <w:numId w:val="44"/>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t xml:space="preserve">megkönnyíti az egyéni önérdeken túlmutató dolgok iránti elkötelezettséget. </w:t>
      </w:r>
    </w:p>
    <w:p w14:paraId="4C4B7CF9" w14:textId="77777777" w:rsidR="007D587C" w:rsidRPr="000F45B4" w:rsidRDefault="007D587C" w:rsidP="00445121">
      <w:pPr>
        <w:numPr>
          <w:ilvl w:val="0"/>
          <w:numId w:val="44"/>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lastRenderedPageBreak/>
        <w:t xml:space="preserve">növeli a társadalmi rendszer stabilitását. A kultúra az a társadalmi kötőanyag, amely segít összetartani a szervezetet azáltal, hogy normákat, iránymutatást ad arra vonatkozóan, hogy az alkalmazottaknak mit kell mondaniuk és tenniük. </w:t>
      </w:r>
    </w:p>
    <w:p w14:paraId="07062BCF" w14:textId="77777777" w:rsidR="007D587C" w:rsidRPr="000F45B4" w:rsidRDefault="007D587C" w:rsidP="00445121">
      <w:pPr>
        <w:numPr>
          <w:ilvl w:val="0"/>
          <w:numId w:val="44"/>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t>olyan értelmezési és kontrollmechanizmus, amely irányítja és alakítja a munkavállalók attitűdjeit és viselkedését (</w:t>
      </w:r>
      <w:proofErr w:type="spellStart"/>
      <w:r w:rsidRPr="000F45B4">
        <w:rPr>
          <w:rFonts w:ascii="Times New Roman" w:eastAsiaTheme="minorHAnsi" w:hAnsi="Times New Roman" w:cs="Times New Roman"/>
        </w:rPr>
        <w:t>Maitlis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Christianson</w:t>
      </w:r>
      <w:proofErr w:type="spellEnd"/>
      <w:r w:rsidRPr="000F45B4">
        <w:rPr>
          <w:rFonts w:ascii="Times New Roman" w:eastAsiaTheme="minorHAnsi" w:hAnsi="Times New Roman" w:cs="Times New Roman"/>
        </w:rPr>
        <w:t>, 2014).</w:t>
      </w:r>
    </w:p>
    <w:p w14:paraId="12CB6564"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formális szabályokkal és előírásokkal támogatott erős kultúra biztosítja, hogy az alkalmazottak viszonylag egységesen és kiszámíthatóan cselekedjenek. A mai, decentralizált szervezetek felé mutató tendencia minden eddiginél fontosabbá teszi a kultúrát, de ironikus módon az erős kultúra kialakítását is megnehezíti. Amikor a decentralizáció révén csökken a formális hatáskör és az ellenőrzési rendszerek száma, a kultúra mindenkit ugyanabba az irányba terelhet (Ling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xml:space="preserve">., 2008). A csapatokba szerveződött alkalmazottak azonban nagyobb hűséget tanúsíthatnak a csapatuk és annak értékei iránt, mint a szervezet iránt. A szervezetek számára különösen fontos lehet az erős vezetés, amely a közös célokról és prioritásokról való gyakori kommunikáció révén elősegíti az erős kulturális kötődést. </w:t>
      </w:r>
    </w:p>
    <w:p w14:paraId="1FFD61DB" w14:textId="77777777" w:rsidR="007D587C" w:rsidRPr="000F45B4" w:rsidRDefault="007D587C" w:rsidP="007D587C">
      <w:pPr>
        <w:rPr>
          <w:rFonts w:ascii="Times New Roman" w:hAnsi="Times New Roman" w:cs="Times New Roman"/>
        </w:rPr>
      </w:pPr>
      <w:bookmarkStart w:id="124" w:name="_Toc118745214"/>
      <w:r w:rsidRPr="000F45B4">
        <w:rPr>
          <w:rFonts w:ascii="Times New Roman" w:hAnsi="Times New Roman" w:cs="Times New Roman"/>
          <w:b/>
          <w:bCs/>
        </w:rPr>
        <w:t>Munkahelyi légkör</w:t>
      </w:r>
      <w:bookmarkEnd w:id="124"/>
    </w:p>
    <w:p w14:paraId="569FCEB2"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kultúra teremti meg a munkahelyi légkört (</w:t>
      </w:r>
      <w:proofErr w:type="spellStart"/>
      <w:r w:rsidRPr="000F45B4">
        <w:rPr>
          <w:rFonts w:ascii="Times New Roman" w:eastAsiaTheme="minorHAnsi" w:hAnsi="Times New Roman" w:cs="Times New Roman"/>
        </w:rPr>
        <w:t>organizational</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climate</w:t>
      </w:r>
      <w:proofErr w:type="spellEnd"/>
      <w:r w:rsidRPr="000F45B4">
        <w:rPr>
          <w:rFonts w:ascii="Times New Roman" w:eastAsiaTheme="minorHAnsi" w:hAnsi="Times New Roman" w:cs="Times New Roman"/>
        </w:rPr>
        <w:t xml:space="preserve">). A </w:t>
      </w:r>
      <w:r w:rsidRPr="000F45B4">
        <w:rPr>
          <w:rFonts w:ascii="Times New Roman" w:eastAsiaTheme="minorHAnsi" w:hAnsi="Times New Roman" w:cs="Times New Roman"/>
          <w:b/>
          <w:bCs/>
        </w:rPr>
        <w:t>munkahelyi légkör</w:t>
      </w:r>
      <w:r w:rsidRPr="000F45B4">
        <w:rPr>
          <w:rFonts w:ascii="Times New Roman" w:eastAsiaTheme="minorHAnsi" w:hAnsi="Times New Roman" w:cs="Times New Roman"/>
        </w:rPr>
        <w:t xml:space="preserve"> a szervezeti tagoknak a szervezetükről és a munkakörnyezetükről alkotott közös észleléseit, felfogását, "a dolgok itteni rendjének közös megítélését" jelenti, amelyek a munkavállalók által tapasztalt irányelvekre, gyakorlatokra és eljárásokra irányulnak (James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2008). Ha mindenkinek ugyanazok az általános érzései arról, hogy mi a fontos, vagy hogy mennyire jól működnek a dolgok a szervezetben, akkor ezeknek az attitűdöknek a hatása több lesz, mint az egyes részek összege. A pozitív munkahelyi légkör összefüggésbe hozható a magasabb ügyfélelégedettséggel és a szervezet pénzügyi teljesítményével is (</w:t>
      </w:r>
      <w:proofErr w:type="spellStart"/>
      <w:r w:rsidRPr="000F45B4">
        <w:rPr>
          <w:rFonts w:ascii="Times New Roman" w:eastAsiaTheme="minorHAnsi" w:hAnsi="Times New Roman" w:cs="Times New Roman"/>
        </w:rPr>
        <w:t>Carr</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2003).</w:t>
      </w:r>
    </w:p>
    <w:p w14:paraId="4BC96F16"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Míg a kultúra elemzése a szervezet alapfeltevéseinek megértésére támaszkodik, addig a munkahelyi légkör vizsgálata a munkavállalók közös értékfelfogásának statikus módon történő ábrázolásával </w:t>
      </w:r>
      <w:proofErr w:type="gramStart"/>
      <w:r w:rsidRPr="000F45B4">
        <w:rPr>
          <w:rFonts w:ascii="Times New Roman" w:eastAsiaTheme="minorHAnsi" w:hAnsi="Times New Roman" w:cs="Times New Roman"/>
        </w:rPr>
        <w:t>foglalkozik</w:t>
      </w:r>
      <w:proofErr w:type="gramEnd"/>
      <w:r w:rsidRPr="000F45B4">
        <w:rPr>
          <w:rFonts w:ascii="Times New Roman" w:eastAsiaTheme="minorHAnsi" w:hAnsi="Times New Roman" w:cs="Times New Roman"/>
        </w:rPr>
        <w:t xml:space="preserve"> mint olyan állapotokkal, amelyeket egy adott időpontban tapasztalnak. A kultúra és a légkör közötti másik kulcsfontosságú különbség az, hogy a kultúrát idővel lassan alakulónak, fejlődőnek tekintik, és szociológiai vagy antropológiai szemszögből vizsgálják, míg a légkör vezetői beavatkozásokkal megváltoztatható. A kultúra és a légkör tehát nem ugyanaz, de nem is teljesen különböző. A kultúra azáltal eredményezi a légkört, hogy megerősíti a munkavállalók közös felfogását arról, hogy mit tartanak értékesnek és együttesen befolyásolják azt, hogy az emberek hogyan élik meg a munkakörnyezetüket (</w:t>
      </w:r>
      <w:proofErr w:type="spellStart"/>
      <w:r w:rsidRPr="000F45B4">
        <w:rPr>
          <w:rFonts w:ascii="Times New Roman" w:eastAsiaTheme="minorHAnsi" w:hAnsi="Times New Roman" w:cs="Times New Roman"/>
        </w:rPr>
        <w:t>Scandura</w:t>
      </w:r>
      <w:proofErr w:type="spellEnd"/>
      <w:r w:rsidRPr="000F45B4">
        <w:rPr>
          <w:rFonts w:ascii="Times New Roman" w:eastAsiaTheme="minorHAnsi" w:hAnsi="Times New Roman" w:cs="Times New Roman"/>
        </w:rPr>
        <w:t xml:space="preserve">, 2019).  </w:t>
      </w:r>
    </w:p>
    <w:p w14:paraId="09B77277"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legújabb elméletek azt is sugallják, hogy különbség van a vallott, hirdetett (azaz a felszínen elfogadott) és a megvalósított</w:t>
      </w:r>
      <w:r w:rsidRPr="000F45B4">
        <w:rPr>
          <w:rFonts w:ascii="Times New Roman" w:eastAsiaTheme="minorHAnsi" w:hAnsi="Times New Roman" w:cs="Times New Roman"/>
          <w:b/>
          <w:bCs/>
        </w:rPr>
        <w:t xml:space="preserve"> </w:t>
      </w:r>
      <w:r w:rsidRPr="000F45B4">
        <w:rPr>
          <w:rFonts w:ascii="Times New Roman" w:eastAsiaTheme="minorHAnsi" w:hAnsi="Times New Roman" w:cs="Times New Roman"/>
        </w:rPr>
        <w:t>(azaz a gyakorlatba átültetett) kulturális értékek, hiedelmek és feltételezések között, és hogy ez a különbség hatással van a munkahelyi légkör kialakulására. Környezetük értelmezése során a szervezet tagjai különbséget tesznek aközött, hogy mit hallanak vagy látnak támogatottnak vezetők részéről az értekezleteken, feljegyzésekben, szabálykönyvekben, és aközött, amit ténylegesen megvalósulni látnak. A munkahelyi légkör tehát annak függvénye, hogy a munkavállalók mit (milyen viselkedést, teljesítményt stb.) érzékelnek valóban elismertnek, díjazottnak a szervezetben. Ausztrál kutatások azt mutatják, hogy ha a vallott és a megvalósított szervezeti értékek között összhang van, akkor a munkavállalók nagyobb szervezeti elkötelezettséget mutatnak (</w:t>
      </w:r>
      <w:proofErr w:type="spellStart"/>
      <w:r w:rsidRPr="000F45B4">
        <w:rPr>
          <w:rFonts w:ascii="Times New Roman" w:eastAsiaTheme="minorHAnsi" w:hAnsi="Times New Roman" w:cs="Times New Roman"/>
        </w:rPr>
        <w:t>Carr</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2003).</w:t>
      </w:r>
    </w:p>
    <w:p w14:paraId="5DAF000B" w14:textId="77777777" w:rsidR="007D587C" w:rsidRPr="000F45B4" w:rsidRDefault="007D587C" w:rsidP="007D587C">
      <w:pPr>
        <w:rPr>
          <w:rFonts w:ascii="Times New Roman" w:hAnsi="Times New Roman" w:cs="Times New Roman"/>
        </w:rPr>
      </w:pPr>
      <w:bookmarkStart w:id="125" w:name="_Toc118745215"/>
      <w:r w:rsidRPr="000F45B4">
        <w:rPr>
          <w:rFonts w:ascii="Times New Roman" w:hAnsi="Times New Roman" w:cs="Times New Roman"/>
          <w:b/>
          <w:bCs/>
        </w:rPr>
        <w:t>A kultúra etikai dimenziója</w:t>
      </w:r>
      <w:bookmarkEnd w:id="125"/>
    </w:p>
    <w:p w14:paraId="1DA18468"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szervezeti kultúrák etikai orientációja nem semleges, még akkor sem, ha nem követnek nyíltan etikai célokat. A kultúra etikai </w:t>
      </w:r>
      <w:proofErr w:type="gramStart"/>
      <w:r w:rsidRPr="000F45B4">
        <w:rPr>
          <w:rFonts w:ascii="Times New Roman" w:eastAsiaTheme="minorHAnsi" w:hAnsi="Times New Roman" w:cs="Times New Roman"/>
        </w:rPr>
        <w:t>dimenziója</w:t>
      </w:r>
      <w:proofErr w:type="gramEnd"/>
      <w:r w:rsidRPr="000F45B4">
        <w:rPr>
          <w:rFonts w:ascii="Times New Roman" w:eastAsiaTheme="minorHAnsi" w:hAnsi="Times New Roman" w:cs="Times New Roman"/>
        </w:rPr>
        <w:t xml:space="preserve"> mint a helyes és helytelen viselkedés közös felfogása idővel alakul ki a munkahelyen, tükrözi a szervezet valódi értékrendjét, és alakítja tagjainak etikai döntéshozatalát. A kutatások azt mutatják, hogy az etikus kultúrák világos etikai normákat vallanak, a vezetés által képviselt etikus viselkedéssel és olyan alkalmazottakkal, akik képesek elkötelezni magukat az etikus viselkedés </w:t>
      </w:r>
      <w:r w:rsidRPr="000F45B4">
        <w:rPr>
          <w:rFonts w:ascii="Times New Roman" w:eastAsiaTheme="minorHAnsi" w:hAnsi="Times New Roman" w:cs="Times New Roman"/>
        </w:rPr>
        <w:lastRenderedPageBreak/>
        <w:t>mellett. Az alkalmazottak és a vezetők nyitottak az etikai kérdések megvitatására, és megerősítést kapnak etikus viselkedésükért (</w:t>
      </w:r>
      <w:proofErr w:type="spellStart"/>
      <w:r w:rsidRPr="000F45B4">
        <w:rPr>
          <w:rFonts w:ascii="Times New Roman" w:eastAsiaTheme="minorHAnsi" w:hAnsi="Times New Roman" w:cs="Times New Roman"/>
        </w:rPr>
        <w:t>Kaptein</w:t>
      </w:r>
      <w:proofErr w:type="spellEnd"/>
      <w:r w:rsidRPr="000F45B4">
        <w:rPr>
          <w:rFonts w:ascii="Times New Roman" w:eastAsiaTheme="minorHAnsi" w:hAnsi="Times New Roman" w:cs="Times New Roman"/>
        </w:rPr>
        <w:t>, 2008).</w:t>
      </w:r>
    </w:p>
    <w:p w14:paraId="58615E86" w14:textId="77777777" w:rsidR="007D587C" w:rsidRPr="000F45B4" w:rsidRDefault="007D587C" w:rsidP="007D587C">
      <w:pPr>
        <w:rPr>
          <w:rFonts w:ascii="Times New Roman" w:hAnsi="Times New Roman" w:cs="Times New Roman"/>
        </w:rPr>
      </w:pPr>
      <w:bookmarkStart w:id="126" w:name="_Toc118745216"/>
      <w:r w:rsidRPr="000F45B4">
        <w:rPr>
          <w:rFonts w:ascii="Times New Roman" w:hAnsi="Times New Roman" w:cs="Times New Roman"/>
          <w:b/>
          <w:bCs/>
        </w:rPr>
        <w:t>A kultúra előnyei</w:t>
      </w:r>
      <w:bookmarkEnd w:id="126"/>
    </w:p>
    <w:p w14:paraId="2A74253B"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kultúra fokozhatja a szervezeti elkötelezettséget és növelheti a munkavállalók viselkedésének következetességét, ami egyértelműen előnyös a szervezet számára. A kultúra a munkavállalók számára is értékes, mert megszabja, hogyan történnek a dolgok, és mi a fontos a szervezetben. A szervezeti kultúra pozitív etikai környezetet teremthet, elősegítheti az innovációt és a fenntarthatóságot, és számos módon jelentősen hozzájárulhat egy szervezet jövedelmezőségéhez, teljesítményéhez is. Sokkal több olyan üzleti sikertörténet van, amely a kiváló szervezeti kultúrának köszönhető, mint a rossz kultúra ellenére elért sikertörténetek, és szinte nem ismerünk olyan sikertörténetet, ami a rossz szervezeti kultúrára vezethető vissza. A kutatások szerint a kultúra részben az ügyfelek elégedettségén keresztül befolyásolja egy szervezet teljesítményét: Egy közel 100 autókereskedés 6 éven át tartó vizsgálatából kiderült, hogy a pozitív kultúra azért vezet jobb értékesítési teljesítményhez, mert növeli az ügyfelek elégedettségét (</w:t>
      </w:r>
      <w:proofErr w:type="spellStart"/>
      <w:r w:rsidRPr="000F45B4">
        <w:rPr>
          <w:rFonts w:ascii="Times New Roman" w:eastAsiaTheme="minorHAnsi" w:hAnsi="Times New Roman" w:cs="Times New Roman"/>
        </w:rPr>
        <w:t>Boyce</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xml:space="preserve">., 2015). </w:t>
      </w:r>
    </w:p>
    <w:p w14:paraId="44C50726" w14:textId="77777777" w:rsidR="007D587C" w:rsidRPr="000F45B4" w:rsidRDefault="007D587C" w:rsidP="007D587C">
      <w:pPr>
        <w:rPr>
          <w:rFonts w:ascii="Times New Roman" w:hAnsi="Times New Roman" w:cs="Times New Roman"/>
        </w:rPr>
      </w:pPr>
      <w:bookmarkStart w:id="127" w:name="_Toc118745217"/>
      <w:r w:rsidRPr="000F45B4">
        <w:rPr>
          <w:rFonts w:ascii="Times New Roman" w:hAnsi="Times New Roman" w:cs="Times New Roman"/>
          <w:b/>
          <w:bCs/>
        </w:rPr>
        <w:t>A kultúra lehetséges hátrányai</w:t>
      </w:r>
      <w:bookmarkEnd w:id="127"/>
    </w:p>
    <w:p w14:paraId="55B017EB"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kultúrának - különösen az erős kultúrának – lehetnek potenciálisan diszfunkcionális hatásai a szervezet eredményességére. A negatív szervezeti kultúra jele lehet például, ha a szervezet intézményesül, ha a kultúra akadályozza a változást és a sokszínűséget vagy ha toxikussá válik.</w:t>
      </w:r>
    </w:p>
    <w:p w14:paraId="5F92676A"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Amikor egy szervezet </w:t>
      </w:r>
      <w:r w:rsidRPr="000F45B4">
        <w:rPr>
          <w:rFonts w:ascii="Times New Roman" w:eastAsiaTheme="minorHAnsi" w:hAnsi="Times New Roman" w:cs="Times New Roman"/>
          <w:b/>
          <w:bCs/>
        </w:rPr>
        <w:t>intézményesül</w:t>
      </w:r>
      <w:r w:rsidRPr="000F45B4">
        <w:rPr>
          <w:rFonts w:ascii="Times New Roman" w:eastAsiaTheme="minorHAnsi" w:hAnsi="Times New Roman" w:cs="Times New Roman"/>
        </w:rPr>
        <w:t xml:space="preserve"> – vagyis önmagáért, és nem az általa előállított árukért vagy szolgáltatásokért értékelik –, akkor az alapítóitól vagy tagjaitól függetlenül önálló életet kezd élni. Az intézményesült szervezetek gyakran akkor sem szűnnek meg, ha az eredeti szervezeti célok már nem relevánsak. Az elfogadható viselkedési módok a tagok számára nagyrészt maguktól értetődővé válnak, és ez gyakran azt eredményezi, hogy a viselkedésmódok és szokások megkérdőjelezhetetlenek lesznek. Mindez elfojtja az innovációt, és a szervezet kultúrájának fenntartását öncélúvá teszi (</w:t>
      </w:r>
      <w:proofErr w:type="spellStart"/>
      <w:r w:rsidRPr="000F45B4">
        <w:rPr>
          <w:rFonts w:ascii="Times New Roman" w:eastAsiaTheme="minorHAnsi" w:hAnsi="Times New Roman" w:cs="Times New Roman"/>
        </w:rPr>
        <w:t>Lanzara</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Patriotta</w:t>
      </w:r>
      <w:proofErr w:type="spellEnd"/>
      <w:r w:rsidRPr="000F45B4">
        <w:rPr>
          <w:rFonts w:ascii="Times New Roman" w:eastAsiaTheme="minorHAnsi" w:hAnsi="Times New Roman" w:cs="Times New Roman"/>
        </w:rPr>
        <w:t xml:space="preserve">, 2007). </w:t>
      </w:r>
    </w:p>
    <w:p w14:paraId="0E962D92"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kultúra akkor válhat a szervezeti teljesítményt hátráltató tényezővé, ha a közös értékek eltérnek attól, ami a szervezet eredményességét elősegíthetné. Ez történhet olyankor, amikor a szervezet környezete gyors változáson megy keresztül, és a megváltozott környezetben a szervezet berögzült kultúrája már nem biztos, hogy megfelelő. A viselkedés következetessége, ami egy stabil környezetben előny, ilyenkor terhet jelenthet a szervezet számára, és </w:t>
      </w:r>
      <w:r w:rsidRPr="000F45B4">
        <w:rPr>
          <w:rFonts w:ascii="Times New Roman" w:eastAsiaTheme="minorHAnsi" w:hAnsi="Times New Roman" w:cs="Times New Roman"/>
          <w:b/>
          <w:bCs/>
        </w:rPr>
        <w:t xml:space="preserve">megnehezítheti a változásra való reagálást </w:t>
      </w:r>
      <w:r w:rsidRPr="000F45B4">
        <w:rPr>
          <w:rFonts w:ascii="Times New Roman" w:eastAsiaTheme="minorHAnsi" w:hAnsi="Times New Roman" w:cs="Times New Roman"/>
        </w:rPr>
        <w:t>(</w:t>
      </w:r>
      <w:proofErr w:type="spellStart"/>
      <w:r w:rsidRPr="000F45B4">
        <w:rPr>
          <w:rFonts w:ascii="Times New Roman" w:eastAsiaTheme="minorHAnsi" w:hAnsi="Times New Roman" w:cs="Times New Roman"/>
        </w:rPr>
        <w:t>Sorensen</w:t>
      </w:r>
      <w:proofErr w:type="spellEnd"/>
      <w:r w:rsidRPr="000F45B4">
        <w:rPr>
          <w:rFonts w:ascii="Times New Roman" w:eastAsiaTheme="minorHAnsi" w:hAnsi="Times New Roman" w:cs="Times New Roman"/>
        </w:rPr>
        <w:t xml:space="preserve">, 2002). </w:t>
      </w:r>
    </w:p>
    <w:p w14:paraId="325EE845"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Az olyan új alkalmazottak felvétele, akik faji, életkori, nemi, fogyatékossági vagy egyéb jellemzők tekintetében eltérnek a többségtől ellentmondásos következményeket szülhet. A </w:t>
      </w:r>
      <w:r w:rsidRPr="000F45B4">
        <w:rPr>
          <w:rFonts w:ascii="Times New Roman" w:eastAsiaTheme="minorHAnsi" w:hAnsi="Times New Roman" w:cs="Times New Roman"/>
          <w:b/>
          <w:bCs/>
        </w:rPr>
        <w:t>sokszínűség</w:t>
      </w:r>
      <w:r w:rsidRPr="000F45B4">
        <w:rPr>
          <w:rFonts w:ascii="Times New Roman" w:eastAsiaTheme="minorHAnsi" w:hAnsi="Times New Roman" w:cs="Times New Roman"/>
        </w:rPr>
        <w:t xml:space="preserve">et támogató szervezeti kultúrának megfelelően a vezetés szeretné demonstrálni, hogy támogatja az ilyen alkalmazottak által a munkahelyre hozott különbségeket, de a beilleszkedni kívánó újonnan érkezőknek el kell fogadniuk a szervezet alapkultúráját. Mivel a különböző viselkedésmódok és az egyedi erősségek az új alkalmazottak beilleszkedésével valószínűleg csökkennek, az erős kultúrák hátránnyá válhatnak, ha ezáltal megszüntetik a sokféleség előnyeit (Stone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xml:space="preserve">., 2007). </w:t>
      </w:r>
    </w:p>
    <w:p w14:paraId="7E017BAD"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Eddig alapvetően olyan kultúrákról volt szó, amelyek pozitív értékek és attitűdök köré csoportosulnak. Azonban a negatívitás és a diszfunkcionális menedzsment rendszerek köré csoportosuló kultúra ugyanolyan erős, de </w:t>
      </w:r>
      <w:r w:rsidRPr="000F45B4">
        <w:rPr>
          <w:rFonts w:ascii="Times New Roman" w:eastAsiaTheme="minorHAnsi" w:hAnsi="Times New Roman" w:cs="Times New Roman"/>
          <w:b/>
          <w:bCs/>
        </w:rPr>
        <w:t>mérgező</w:t>
      </w:r>
      <w:r w:rsidRPr="000F45B4">
        <w:rPr>
          <w:rFonts w:ascii="Times New Roman" w:eastAsiaTheme="minorHAnsi" w:hAnsi="Times New Roman" w:cs="Times New Roman"/>
        </w:rPr>
        <w:t xml:space="preserve"> lefelé ható erőket eredményezhetnek a szervezeten belül (</w:t>
      </w:r>
      <w:proofErr w:type="spellStart"/>
      <w:r w:rsidRPr="000F45B4">
        <w:rPr>
          <w:rFonts w:ascii="Times New Roman" w:eastAsiaTheme="minorHAnsi" w:hAnsi="Times New Roman" w:cs="Times New Roman"/>
        </w:rPr>
        <w:t>Liu</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2012).</w:t>
      </w:r>
    </w:p>
    <w:p w14:paraId="19F2892C"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Hagyományosan a különböző szervezetek felvásárlása vagy fúziója esetén a legfontosabb döntési tényezők a potenciális pénzügyi előny és a termékszinergia voltak. Az utóbbi években azonban a </w:t>
      </w:r>
      <w:r w:rsidRPr="000F45B4">
        <w:rPr>
          <w:rFonts w:ascii="Times New Roman" w:eastAsiaTheme="minorHAnsi" w:hAnsi="Times New Roman" w:cs="Times New Roman"/>
          <w:b/>
          <w:bCs/>
        </w:rPr>
        <w:t>kulturális kompatibilitás</w:t>
      </w:r>
      <w:r w:rsidRPr="000F45B4">
        <w:rPr>
          <w:rFonts w:ascii="Times New Roman" w:eastAsiaTheme="minorHAnsi" w:hAnsi="Times New Roman" w:cs="Times New Roman"/>
        </w:rPr>
        <w:t xml:space="preserve"> vált az elsődleges szemponttá, mert úgy tűnik, hogyha minden más egyenlő, akkor az akvizíció sikeressége nagyban függ attól, hogy a két szervezet kultúrája mennyire illeszkedik egymáshoz. Ha nem jól illeszkednek egymáshoz, akkor a két szervezet kultúrája az új szervezet egésze számára teherré válik (Weber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xml:space="preserve">., 2003). A </w:t>
      </w:r>
      <w:proofErr w:type="spellStart"/>
      <w:r w:rsidRPr="000F45B4">
        <w:rPr>
          <w:rFonts w:ascii="Times New Roman" w:eastAsiaTheme="minorHAnsi" w:hAnsi="Times New Roman" w:cs="Times New Roman"/>
        </w:rPr>
        <w:t>Bain</w:t>
      </w:r>
      <w:proofErr w:type="spellEnd"/>
      <w:r w:rsidRPr="000F45B4">
        <w:rPr>
          <w:rFonts w:ascii="Times New Roman" w:eastAsiaTheme="minorHAnsi" w:hAnsi="Times New Roman" w:cs="Times New Roman"/>
        </w:rPr>
        <w:t xml:space="preserve"> and </w:t>
      </w:r>
      <w:proofErr w:type="spellStart"/>
      <w:r w:rsidRPr="000F45B4">
        <w:rPr>
          <w:rFonts w:ascii="Times New Roman" w:eastAsiaTheme="minorHAnsi" w:hAnsi="Times New Roman" w:cs="Times New Roman"/>
        </w:rPr>
        <w:t>Company</w:t>
      </w:r>
      <w:proofErr w:type="spellEnd"/>
      <w:r w:rsidRPr="000F45B4">
        <w:rPr>
          <w:rFonts w:ascii="Times New Roman" w:eastAsiaTheme="minorHAnsi" w:hAnsi="Times New Roman" w:cs="Times New Roman"/>
        </w:rPr>
        <w:t xml:space="preserve"> által végzett tanulmány szerint az </w:t>
      </w:r>
      <w:r w:rsidRPr="000F45B4">
        <w:rPr>
          <w:rFonts w:ascii="Times New Roman" w:eastAsiaTheme="minorHAnsi" w:hAnsi="Times New Roman" w:cs="Times New Roman"/>
        </w:rPr>
        <w:lastRenderedPageBreak/>
        <w:t>egyesülések 70 százaléka nem növelte a részvényesi értékeket, a Hay Group pedig megállapította, hogy Európában az egyesülések több mint 90 százaléka nem érte el a pénzügyi célokat (</w:t>
      </w:r>
      <w:proofErr w:type="spellStart"/>
      <w:r w:rsidRPr="000F45B4">
        <w:rPr>
          <w:rFonts w:ascii="Times New Roman" w:eastAsiaTheme="minorHAnsi" w:hAnsi="Times New Roman" w:cs="Times New Roman"/>
        </w:rPr>
        <w:t>Voigt</w:t>
      </w:r>
      <w:proofErr w:type="spellEnd"/>
      <w:r w:rsidRPr="000F45B4">
        <w:rPr>
          <w:rFonts w:ascii="Times New Roman" w:eastAsiaTheme="minorHAnsi" w:hAnsi="Times New Roman" w:cs="Times New Roman"/>
        </w:rPr>
        <w:t xml:space="preserve">, 2009). Tekintettel erre a siralmas sikerességi arányra, Lawrence </w:t>
      </w:r>
      <w:proofErr w:type="spellStart"/>
      <w:r w:rsidRPr="000F45B4">
        <w:rPr>
          <w:rFonts w:ascii="Times New Roman" w:eastAsiaTheme="minorHAnsi" w:hAnsi="Times New Roman" w:cs="Times New Roman"/>
        </w:rPr>
        <w:t>Chia</w:t>
      </w:r>
      <w:proofErr w:type="spellEnd"/>
      <w:r w:rsidRPr="000F45B4">
        <w:rPr>
          <w:rFonts w:ascii="Times New Roman" w:eastAsiaTheme="minorHAnsi" w:hAnsi="Times New Roman" w:cs="Times New Roman"/>
        </w:rPr>
        <w:t xml:space="preserve"> a </w:t>
      </w:r>
      <w:proofErr w:type="spellStart"/>
      <w:r w:rsidRPr="000F45B4">
        <w:rPr>
          <w:rFonts w:ascii="Times New Roman" w:eastAsiaTheme="minorHAnsi" w:hAnsi="Times New Roman" w:cs="Times New Roman"/>
        </w:rPr>
        <w:t>Deloitte</w:t>
      </w:r>
      <w:proofErr w:type="spellEnd"/>
      <w:r w:rsidRPr="000F45B4">
        <w:rPr>
          <w:rFonts w:ascii="Times New Roman" w:eastAsiaTheme="minorHAnsi" w:hAnsi="Times New Roman" w:cs="Times New Roman"/>
        </w:rPr>
        <w:t xml:space="preserve"> Consultingtól megjegyezte: „Az egyik legnagyobb hibát az emberek jelentik. Az A vállalat emberei másképp csinálják a dolgokat, mint a B vállalaté ... nem lehet közös célokat találni". A </w:t>
      </w:r>
      <w:r w:rsidRPr="000F45B4">
        <w:rPr>
          <w:rFonts w:ascii="Times New Roman" w:eastAsiaTheme="minorHAnsi" w:hAnsi="Times New Roman" w:cs="Times New Roman"/>
          <w:b/>
          <w:bCs/>
        </w:rPr>
        <w:t>kulturális összeütközés</w:t>
      </w:r>
      <w:r w:rsidRPr="000F45B4">
        <w:rPr>
          <w:rFonts w:ascii="Times New Roman" w:eastAsiaTheme="minorHAnsi" w:hAnsi="Times New Roman" w:cs="Times New Roman"/>
        </w:rPr>
        <w:t xml:space="preserve">re vezetik vissza többek között az </w:t>
      </w:r>
      <w:proofErr w:type="spellStart"/>
      <w:r w:rsidRPr="000F45B4">
        <w:rPr>
          <w:rFonts w:ascii="Times New Roman" w:eastAsiaTheme="minorHAnsi" w:hAnsi="Times New Roman" w:cs="Times New Roman"/>
        </w:rPr>
        <w:t>America</w:t>
      </w:r>
      <w:proofErr w:type="spellEnd"/>
      <w:r w:rsidRPr="000F45B4">
        <w:rPr>
          <w:rFonts w:ascii="Times New Roman" w:eastAsiaTheme="minorHAnsi" w:hAnsi="Times New Roman" w:cs="Times New Roman"/>
        </w:rPr>
        <w:t xml:space="preserve"> Online (AOL) és a Time Warner 2001-es 183 milliárd dolláros fúziójának kudarcát is. </w:t>
      </w:r>
    </w:p>
    <w:p w14:paraId="08851110" w14:textId="77777777" w:rsidR="007D587C" w:rsidRPr="007D587C"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128" w:name="_Toc118745218"/>
      <w:bookmarkStart w:id="129" w:name="_Toc145962964"/>
      <w:r w:rsidRPr="007D587C">
        <w:rPr>
          <w:rFonts w:ascii="Times New Roman" w:hAnsi="Times New Roman" w:cs="Times New Roman"/>
        </w:rPr>
        <w:t>A kultúra kialakulását és fenntartását befolyásoló tényezők</w:t>
      </w:r>
      <w:bookmarkEnd w:id="128"/>
      <w:bookmarkEnd w:id="129"/>
    </w:p>
    <w:p w14:paraId="73EC4F80"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Egy szervezet kultúrája nem a semmiből bukkan elő. Mi befolyásolja a kultúra kialakulását? Mi erősíti és tartja fenn azt, ha már kialakult?</w:t>
      </w:r>
    </w:p>
    <w:p w14:paraId="4BB2E6A6" w14:textId="77777777" w:rsidR="007D587C" w:rsidRPr="007D587C" w:rsidRDefault="007D587C" w:rsidP="00445121">
      <w:pPr>
        <w:pStyle w:val="Cmsor3"/>
        <w:numPr>
          <w:ilvl w:val="2"/>
          <w:numId w:val="40"/>
        </w:numPr>
        <w:spacing w:before="120" w:after="120" w:line="240" w:lineRule="auto"/>
        <w:jc w:val="both"/>
        <w:rPr>
          <w:rFonts w:ascii="Times New Roman" w:hAnsi="Times New Roman" w:cs="Times New Roman"/>
        </w:rPr>
      </w:pPr>
      <w:bookmarkStart w:id="130" w:name="_Toc118745219"/>
      <w:bookmarkStart w:id="131" w:name="_Toc145962965"/>
      <w:r w:rsidRPr="007D587C">
        <w:rPr>
          <w:rFonts w:ascii="Times New Roman" w:hAnsi="Times New Roman" w:cs="Times New Roman"/>
        </w:rPr>
        <w:t>Hogyan kezdődik a kultúra?</w:t>
      </w:r>
      <w:bookmarkEnd w:id="130"/>
      <w:bookmarkEnd w:id="131"/>
    </w:p>
    <w:p w14:paraId="29473F9B"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Egy szervezet szokásai, hagyományai és általános működési módja nagyrészt abból fakad, hogy mit csinált korábban, és mennyire volt sikeres abban, amit csinált. Ez visszavezet egy szervezet kultúrájának gyökeréhez, az alapítókhoz. Az alapítóknak van egy elképzelésük arról, hogy milyennek kell lennie a szervezetnek, és a cég kezdeti kis mérete megkönnyíti, hogy ezt az elképzelést minden tagra ráerőltessék. Az alapítók…</w:t>
      </w:r>
    </w:p>
    <w:p w14:paraId="2D5FD3DC" w14:textId="77777777" w:rsidR="007D587C" w:rsidRPr="000F45B4" w:rsidRDefault="007D587C" w:rsidP="00445121">
      <w:pPr>
        <w:numPr>
          <w:ilvl w:val="0"/>
          <w:numId w:val="45"/>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t xml:space="preserve">csak olyan alkalmazottakat vesznek fel és tartanak meg, akik ugyanúgy gondolkodnak és éreznek, mint ők. </w:t>
      </w:r>
    </w:p>
    <w:p w14:paraId="504F5B63" w14:textId="77777777" w:rsidR="007D587C" w:rsidRPr="000F45B4" w:rsidRDefault="007D587C" w:rsidP="00445121">
      <w:pPr>
        <w:numPr>
          <w:ilvl w:val="0"/>
          <w:numId w:val="45"/>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t xml:space="preserve">a saját gondolkodásmódjukra és érzéseikre nevelik és szocializálják a dolgozókat. </w:t>
      </w:r>
    </w:p>
    <w:p w14:paraId="0F71D536" w14:textId="77777777" w:rsidR="007D587C" w:rsidRPr="000F45B4" w:rsidRDefault="007D587C" w:rsidP="00445121">
      <w:pPr>
        <w:numPr>
          <w:ilvl w:val="0"/>
          <w:numId w:val="45"/>
        </w:numPr>
        <w:tabs>
          <w:tab w:val="left" w:pos="1985"/>
        </w:tabs>
        <w:contextualSpacing/>
        <w:jc w:val="both"/>
        <w:rPr>
          <w:rFonts w:ascii="Times New Roman" w:eastAsiaTheme="minorHAnsi" w:hAnsi="Times New Roman" w:cs="Times New Roman"/>
        </w:rPr>
      </w:pPr>
      <w:r w:rsidRPr="000F45B4">
        <w:rPr>
          <w:rFonts w:ascii="Times New Roman" w:eastAsiaTheme="minorHAnsi" w:hAnsi="Times New Roman" w:cs="Times New Roman"/>
        </w:rPr>
        <w:t xml:space="preserve">saját viselkedése arra ösztönzi az alkalmazottakat, hogy azonosuljanak velük, </w:t>
      </w:r>
      <w:proofErr w:type="spellStart"/>
      <w:r w:rsidRPr="000F45B4">
        <w:rPr>
          <w:rFonts w:ascii="Times New Roman" w:eastAsiaTheme="minorHAnsi" w:hAnsi="Times New Roman" w:cs="Times New Roman"/>
        </w:rPr>
        <w:t>internalizálják</w:t>
      </w:r>
      <w:proofErr w:type="spellEnd"/>
      <w:r w:rsidRPr="000F45B4">
        <w:rPr>
          <w:rFonts w:ascii="Times New Roman" w:eastAsiaTheme="minorHAnsi" w:hAnsi="Times New Roman" w:cs="Times New Roman"/>
        </w:rPr>
        <w:t xml:space="preserve"> a hitüket, értékeiket és feltételezéseiket (</w:t>
      </w:r>
      <w:proofErr w:type="spellStart"/>
      <w:r w:rsidRPr="000F45B4">
        <w:rPr>
          <w:rFonts w:ascii="Times New Roman" w:eastAsiaTheme="minorHAnsi" w:hAnsi="Times New Roman" w:cs="Times New Roman"/>
        </w:rPr>
        <w:t>Schein</w:t>
      </w:r>
      <w:proofErr w:type="spellEnd"/>
      <w:r w:rsidRPr="000F45B4">
        <w:rPr>
          <w:rFonts w:ascii="Times New Roman" w:eastAsiaTheme="minorHAnsi" w:hAnsi="Times New Roman" w:cs="Times New Roman"/>
        </w:rPr>
        <w:t xml:space="preserve">, 2010). </w:t>
      </w:r>
    </w:p>
    <w:p w14:paraId="1D0D2FD8" w14:textId="77777777" w:rsidR="007D587C" w:rsidRPr="000F45B4" w:rsidRDefault="007D587C" w:rsidP="007D587C">
      <w:pPr>
        <w:tabs>
          <w:tab w:val="left" w:pos="1985"/>
        </w:tabs>
        <w:spacing w:after="120"/>
        <w:ind w:left="360"/>
        <w:jc w:val="both"/>
        <w:rPr>
          <w:rFonts w:ascii="Times New Roman" w:eastAsiaTheme="minorHAnsi" w:hAnsi="Times New Roman" w:cs="Times New Roman"/>
        </w:rPr>
      </w:pPr>
      <w:r w:rsidRPr="000F45B4">
        <w:rPr>
          <w:rFonts w:ascii="Times New Roman" w:eastAsiaTheme="minorHAnsi" w:hAnsi="Times New Roman" w:cs="Times New Roman"/>
        </w:rPr>
        <w:t xml:space="preserve">Ha a szervezet sikeres, az alapítók személyisége beépül a kultúrába. Például a Hyundai ádáz, versengő stílusa és fegyelmezett, tekintélyelvű természete ugyanazokat a jellemzőket mutatja, amelyeket gyakran használnak az alapító, </w:t>
      </w:r>
      <w:proofErr w:type="spellStart"/>
      <w:r w:rsidRPr="000F45B4">
        <w:rPr>
          <w:rFonts w:ascii="Times New Roman" w:eastAsiaTheme="minorHAnsi" w:hAnsi="Times New Roman" w:cs="Times New Roman"/>
        </w:rPr>
        <w:t>Chung</w:t>
      </w:r>
      <w:proofErr w:type="spellEnd"/>
      <w:r w:rsidRPr="000F45B4">
        <w:rPr>
          <w:rFonts w:ascii="Times New Roman" w:eastAsiaTheme="minorHAnsi" w:hAnsi="Times New Roman" w:cs="Times New Roman"/>
        </w:rPr>
        <w:t xml:space="preserve"> Ju-</w:t>
      </w:r>
      <w:proofErr w:type="spellStart"/>
      <w:r w:rsidRPr="000F45B4">
        <w:rPr>
          <w:rFonts w:ascii="Times New Roman" w:eastAsiaTheme="minorHAnsi" w:hAnsi="Times New Roman" w:cs="Times New Roman"/>
        </w:rPr>
        <w:t>Yung</w:t>
      </w:r>
      <w:proofErr w:type="spellEnd"/>
      <w:r w:rsidRPr="000F45B4">
        <w:rPr>
          <w:rFonts w:ascii="Times New Roman" w:eastAsiaTheme="minorHAnsi" w:hAnsi="Times New Roman" w:cs="Times New Roman"/>
        </w:rPr>
        <w:t xml:space="preserve"> jellemzésére. </w:t>
      </w:r>
    </w:p>
    <w:p w14:paraId="1DF11FED" w14:textId="77777777" w:rsidR="007D587C" w:rsidRPr="007D587C" w:rsidRDefault="007D587C" w:rsidP="00445121">
      <w:pPr>
        <w:pStyle w:val="Cmsor3"/>
        <w:numPr>
          <w:ilvl w:val="2"/>
          <w:numId w:val="40"/>
        </w:numPr>
        <w:spacing w:before="120" w:after="120" w:line="240" w:lineRule="auto"/>
        <w:jc w:val="both"/>
        <w:rPr>
          <w:rFonts w:ascii="Times New Roman" w:hAnsi="Times New Roman" w:cs="Times New Roman"/>
        </w:rPr>
      </w:pPr>
      <w:bookmarkStart w:id="132" w:name="_Toc118745220"/>
      <w:bookmarkStart w:id="133" w:name="_Toc145962966"/>
      <w:r w:rsidRPr="007D587C">
        <w:rPr>
          <w:rFonts w:ascii="Times New Roman" w:hAnsi="Times New Roman" w:cs="Times New Roman"/>
        </w:rPr>
        <w:t>A kultúra életben tartása</w:t>
      </w:r>
      <w:bookmarkEnd w:id="132"/>
      <w:bookmarkEnd w:id="133"/>
    </w:p>
    <w:p w14:paraId="46629240"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Ha már kialakult egy kultúra, a szervezeten belüli gyakorlatok fenntartják azt azáltal, hogy a munkavállalóknak hasonló tapasztalatokat nyújtanak. A kiválasztási folyamat, a teljesítményértékelési kritériumok, a képzési és fejlesztési tevékenységek, valamint az előléptetési eljárások biztosítják, hogy a felvettek illeszkedjenek a kultúrához, mivel jutalmazzák azokat az alkalmazottakat, akik támogatják a kultúrát, és büntetik (vagy akár ki is zárják) azokat, akik megkérdőjelezik azt. Három tényező játszik különösen fontos szerepet a kultúra fenntartásában: a kiválasztási vagy felvételi gyakorlat, a felső szintű menedzsment intézkedései és a szocializációs vagy beilleszkedési (</w:t>
      </w:r>
      <w:proofErr w:type="spellStart"/>
      <w:r w:rsidRPr="000F45B4">
        <w:rPr>
          <w:rFonts w:ascii="Times New Roman" w:eastAsiaTheme="minorHAnsi" w:hAnsi="Times New Roman" w:cs="Times New Roman"/>
        </w:rPr>
        <w:t>onboarding</w:t>
      </w:r>
      <w:proofErr w:type="spellEnd"/>
      <w:r w:rsidRPr="000F45B4">
        <w:rPr>
          <w:rFonts w:ascii="Times New Roman" w:eastAsiaTheme="minorHAnsi" w:hAnsi="Times New Roman" w:cs="Times New Roman"/>
        </w:rPr>
        <w:t xml:space="preserve">) módszerek (pl. az új alkalmazottak tanítása és bevonása). Ezekkel ebben a tárgyban csak érintőlegesen foglalkozunk, hiszen az emberi erőforrás menedzsment és a kapcsolódó kurzusok majd részletesen fogják tárgyalni őket. </w:t>
      </w:r>
    </w:p>
    <w:p w14:paraId="4E918235" w14:textId="77777777" w:rsidR="007D587C" w:rsidRPr="000F45B4" w:rsidRDefault="007D587C" w:rsidP="007D587C">
      <w:pPr>
        <w:spacing w:after="120"/>
        <w:jc w:val="both"/>
        <w:rPr>
          <w:rFonts w:ascii="Times New Roman" w:eastAsiaTheme="minorHAnsi" w:hAnsi="Times New Roman" w:cs="Times New Roman"/>
          <w:b/>
          <w:bCs/>
        </w:rPr>
      </w:pPr>
      <w:r w:rsidRPr="000F45B4">
        <w:rPr>
          <w:rFonts w:ascii="Times New Roman" w:eastAsiaTheme="minorHAnsi" w:hAnsi="Times New Roman" w:cs="Times New Roman"/>
          <w:b/>
          <w:bCs/>
        </w:rPr>
        <w:t>Kiválasztás</w:t>
      </w:r>
    </w:p>
    <w:p w14:paraId="3F3D06BE" w14:textId="77777777" w:rsidR="007D587C"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kiválasztási folyamat kifejezett célja a sikeres munkavégzéshez szükséges ismeretekkel, készségekkel és képességekkel rendelkező személyek azonosítása és felvétele. A végső döntés, mivel azt jelentősen befolyásolja a döntéshozó megítélése arról, hogy a jelöltek mennyire illeszkednek majd a szervezetbe, olyan embereket azonosít, akiknek az értékrendje legalább a szervezet értékrendjének jó részével összhangban van. A kiválasztási folyamat a pályázók számára is információt nyújt. Azok, akik úgy érzik, hogy az értékeik és a szervezet értékei között konfliktus van, kivonhatják magukat a jelentkezők köréből. A kiválasztás így kétirányúvá válik, lehetővé téve a munkáltató és a pályázó számára, hogy elkerüljék a kulturális ütközéseket, és hogy fenntartsák a szervezet kultúráját azáltal, hogy eltávolítják azokat, akik támadhatják vagy alááshatják a szervezet alapvető értékeit.</w:t>
      </w:r>
    </w:p>
    <w:p w14:paraId="736394BD" w14:textId="77777777" w:rsidR="00E2366A" w:rsidRPr="000F45B4" w:rsidRDefault="00E2366A" w:rsidP="007D587C">
      <w:pPr>
        <w:tabs>
          <w:tab w:val="left" w:pos="1985"/>
        </w:tabs>
        <w:spacing w:after="120"/>
        <w:jc w:val="both"/>
        <w:rPr>
          <w:rFonts w:ascii="Times New Roman" w:eastAsiaTheme="minorHAnsi" w:hAnsi="Times New Roman" w:cs="Times New Roman"/>
        </w:rPr>
      </w:pPr>
    </w:p>
    <w:p w14:paraId="2338788C" w14:textId="77777777" w:rsidR="007D587C" w:rsidRPr="000F45B4" w:rsidRDefault="007D587C" w:rsidP="007D587C">
      <w:pPr>
        <w:spacing w:after="120"/>
        <w:jc w:val="both"/>
        <w:rPr>
          <w:rFonts w:ascii="Times New Roman" w:eastAsiaTheme="minorHAnsi" w:hAnsi="Times New Roman" w:cs="Times New Roman"/>
          <w:b/>
          <w:bCs/>
        </w:rPr>
      </w:pPr>
      <w:r w:rsidRPr="000F45B4">
        <w:rPr>
          <w:rFonts w:ascii="Times New Roman" w:eastAsiaTheme="minorHAnsi" w:hAnsi="Times New Roman" w:cs="Times New Roman"/>
          <w:b/>
          <w:bCs/>
        </w:rPr>
        <w:lastRenderedPageBreak/>
        <w:t>A felső szintű menedzsment intézkedései</w:t>
      </w:r>
    </w:p>
    <w:p w14:paraId="48755E50"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felső szintű menedzsment intézkedései nagy hatással vannak a szervezet kultúrájára. A felsővezetők szavakkal és viselkedéssel olyan normákat állítanak fel, amelyek áthatják a szervezetet és szervezet tagjai számára egyértelmű lesz, hogy például kívánatos-e a kockázatvállalás, mekkora szabadságot adnak a vezetők az alkalmazottaknak, milyen a megfelelő öltözködésről és milyen cselekedetekért jár fizetésemelés, előléptetés és egyéb jutalmak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2020).</w:t>
      </w:r>
    </w:p>
    <w:p w14:paraId="59AFF987" w14:textId="77777777" w:rsidR="007D587C" w:rsidRPr="000F45B4" w:rsidRDefault="007D587C" w:rsidP="007D587C">
      <w:pPr>
        <w:spacing w:after="120"/>
        <w:jc w:val="both"/>
        <w:rPr>
          <w:rFonts w:ascii="Times New Roman" w:eastAsiaTheme="minorHAnsi" w:hAnsi="Times New Roman" w:cs="Times New Roman"/>
          <w:b/>
          <w:bCs/>
        </w:rPr>
      </w:pPr>
      <w:r w:rsidRPr="000F45B4">
        <w:rPr>
          <w:rFonts w:ascii="Times New Roman" w:eastAsiaTheme="minorHAnsi" w:hAnsi="Times New Roman" w:cs="Times New Roman"/>
          <w:b/>
          <w:bCs/>
        </w:rPr>
        <w:t>Szocializáció</w:t>
      </w:r>
    </w:p>
    <w:p w14:paraId="4F04A169"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Nem számít, hogy a szervezet milyen jó munkát végez a toborzás és kiválasztás terén, az új alkalmazottaknak segítségre van szükségük az uralkodó kultúrához való alkalmazkodásban. Ez a segítség a szocializációs gyakorlatok formájában érkezik. A szocializáció segíthet enyhíteni azt a problémát, amellyel sok munkavállaló szembesül, amikor az új munkahelyüket másmilyennek érzékelik, mint amire számítottak. A szocializáció hatással van az új munkavállaló termelékenységére, a szervezet céljai iránti elkötelezettségére és a szervezetnél való maradásra vonatkozó döntésére. A szocializáció folyamatának három szakasza van: az érkezés előtti, a találkozás és a metamorfózis szakasz</w:t>
      </w:r>
      <w:r w:rsidRPr="000F45B4">
        <w:rPr>
          <w:rFonts w:ascii="Times New Roman" w:eastAsiaTheme="minorHAnsi" w:hAnsi="Times New Roman" w:cs="Times New Roman"/>
          <w:i/>
          <w:iCs/>
        </w:rPr>
        <w:t xml:space="preserve"> </w:t>
      </w:r>
      <w:r w:rsidRPr="000F45B4">
        <w:rPr>
          <w:rFonts w:ascii="Times New Roman" w:eastAsiaTheme="minorHAnsi" w:hAnsi="Times New Roman" w:cs="Times New Roman"/>
        </w:rPr>
        <w:t>(</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xml:space="preserve">, 2020). </w:t>
      </w:r>
    </w:p>
    <w:p w14:paraId="7FB10C29"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Az </w:t>
      </w:r>
      <w:r w:rsidRPr="000F45B4">
        <w:rPr>
          <w:rFonts w:ascii="Times New Roman" w:eastAsiaTheme="minorHAnsi" w:hAnsi="Times New Roman" w:cs="Times New Roman"/>
          <w:b/>
          <w:bCs/>
        </w:rPr>
        <w:t>érkezés előtti szakasz</w:t>
      </w:r>
      <w:r w:rsidRPr="000F45B4">
        <w:rPr>
          <w:rFonts w:ascii="Times New Roman" w:eastAsiaTheme="minorHAnsi" w:hAnsi="Times New Roman" w:cs="Times New Roman"/>
        </w:rPr>
        <w:t xml:space="preserve">ba minden egyén különböző értékekkel, attitűdökkel és elvárásokkal érkezik a munkára és a szervezetre vonatkozóan. Az üzleti iskolák egyik fő célja például az, hogy a diákokat felkészítsék azokra az attitűdökre és viselkedési formákra, amelyeket a vállalatok a leendő alkalmazottaktól elvárnak. Az, hogy mennyire pontosan ítélik meg egy szervezet kultúráját, mielőtt belépnének a szervezetbe, mennyire proaktív a személyiségük, és milyen a szervezettel kötendő pszichológiai szerződésük </w:t>
      </w:r>
      <w:proofErr w:type="spellStart"/>
      <w:r w:rsidRPr="000F45B4">
        <w:rPr>
          <w:rFonts w:ascii="Times New Roman" w:eastAsiaTheme="minorHAnsi" w:hAnsi="Times New Roman" w:cs="Times New Roman"/>
        </w:rPr>
        <w:t>előrejelzi</w:t>
      </w:r>
      <w:proofErr w:type="spellEnd"/>
      <w:r w:rsidRPr="000F45B4">
        <w:rPr>
          <w:rFonts w:ascii="Times New Roman" w:eastAsiaTheme="minorHAnsi" w:hAnsi="Times New Roman" w:cs="Times New Roman"/>
        </w:rPr>
        <w:t xml:space="preserve"> azt, hogy várhatóan mennyire fognak jól alkalmazkodni. A kiválasztási folyamat segíthet abban, hogy a leendő alkalmazottak erről előzetesen tájékozódhassanak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xml:space="preserve">, 2020). </w:t>
      </w:r>
    </w:p>
    <w:p w14:paraId="462C8AFD"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szervezetbe való belépéssel megkezdődik a </w:t>
      </w:r>
      <w:r w:rsidRPr="000F45B4">
        <w:rPr>
          <w:rFonts w:ascii="Times New Roman" w:eastAsiaTheme="minorHAnsi" w:hAnsi="Times New Roman" w:cs="Times New Roman"/>
          <w:b/>
          <w:bCs/>
        </w:rPr>
        <w:t>találkozás szakasza</w:t>
      </w:r>
      <w:r w:rsidRPr="000F45B4">
        <w:rPr>
          <w:rFonts w:ascii="Times New Roman" w:eastAsiaTheme="minorHAnsi" w:hAnsi="Times New Roman" w:cs="Times New Roman"/>
        </w:rPr>
        <w:t>. Ekkor a munkavállaló szembesülhet azzal, hogy az elvárásai a munkával, a munkatársakkal, a főnökkel és általában a szervezettel kapcsolatban eltérnek a valóságtól. Ha az elvárások pontosak voltak, ez a szakasz csupán megerősíti a korábbi elképzeléseket. Ez azonban gyakran nem így van és szélsőséges esetben az új tag eléggé kiábrándulttá válhat ahhoz, hogy felmondjon. A megfelelő toborzás, kiválasztás és szocializáció (pl. reális előképet nyújtva a munkáról), a szervezeten belüli baráti kapcsolatok ösztönzése jelentősen csökkentheti ezt a kimenetelt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2020).</w:t>
      </w:r>
    </w:p>
    <w:p w14:paraId="35DCDCC2"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Végül, a találkozási szakasz során felfedezett problémák megoldása érdekében az új tag megváltozik, vagy átmegy a </w:t>
      </w:r>
      <w:r w:rsidRPr="000F45B4">
        <w:rPr>
          <w:rFonts w:ascii="Times New Roman" w:eastAsiaTheme="minorHAnsi" w:hAnsi="Times New Roman" w:cs="Times New Roman"/>
          <w:b/>
          <w:bCs/>
        </w:rPr>
        <w:t>metamorfózis szakasz</w:t>
      </w:r>
      <w:r w:rsidRPr="000F45B4">
        <w:rPr>
          <w:rFonts w:ascii="Times New Roman" w:eastAsiaTheme="minorHAnsi" w:hAnsi="Times New Roman" w:cs="Times New Roman"/>
        </w:rPr>
        <w:t xml:space="preserve">án. A szocializációs gyakorlatoknak két fő megvalósítása van. Minél inkább támaszkodik a menedzsment a formális, kollektív, rögzített és sorozatos szocializációs programokra, miközben a leválást hangsúlyozza, annál valószínűbb, hogy az újoncok levetkőzik különbözőségeiket, és azok helyét szabványosított, kiszámítható viselkedésmódok veszik át. Ezek az intézményesített gyakorlatok gyakoriak a rendőrségen, a tűzoltóságokon és más szervezetekben, amelyek értékelik a szabálykövetést és a rendet. Az informális, egyéni, változó és véletlenszerű, ugyanakkor a bevonást hangsúlyozó programok nagyobb valószínűséggel adnak az újonnan érkezőknek innovatív hozzáállást a szerepeikhez és munkamódszereikhez. Az olyan kreatív területek, mint a kutatás és fejlesztés, a reklám és a filmkészítés, ezekre a gyakorlatokra támaszkodnak. A legtöbb kutatás azt sugallja, hogy a magas szintű intézményi gyakorlatok ösztönzik a személy-szervezet illeszkedést és a magas szintű elkötelezettséget, míg az egyéni gyakorlatok több szerepinnovációt eredményeznek (Bauer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2007).</w:t>
      </w:r>
    </w:p>
    <w:p w14:paraId="750DD7F0"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három részből álló belépési szocializációs folyamat akkor fejeződik be, amikor az új tagok elsajátították és elfogadták a szervezet és munkacsoportjaik normáit, bíznak a kompetenciáikban, és úgy érzik, hogy társaik megbíznak bennük és értékelik őket. Megértik a rendszert, nemcsak a saját feladataikat, hanem a szabályokat, eljárásokat és az informálisan elfogadott gyakorlatokat is. Végül pedig tudják, hogy mit várnak el tőlük, és milyen kritériumok alapján mérik és értékelik a munkájukat. </w:t>
      </w:r>
      <w:r w:rsidRPr="000F45B4">
        <w:rPr>
          <w:rFonts w:ascii="Times New Roman" w:eastAsiaTheme="minorHAnsi" w:hAnsi="Times New Roman" w:cs="Times New Roman"/>
        </w:rPr>
        <w:lastRenderedPageBreak/>
        <w:t>A sikeres átalakulásnak pozitív hatással kell lennie az új alkalmazottak termelékenységére és a szervezet iránti elkötelezettségükre, és csökkentenie kell a szervezet elhagyására való hajlandóságukat, a fluktuációt.</w:t>
      </w:r>
    </w:p>
    <w:p w14:paraId="2F220DBF"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szervezeti kultúra tehát az alapító(k) értékrendjéből fakad, ami a cég növekedése során erősen befolyásolja a felvételi kritériumokat. A szocializáció sikere attól függ, hogy a kiválasztási folyamat során az új alkalmazottak értékrendje tudatosan illeszkedik-e a szervezet értékrendjéhez, valamint attól, hogy a topmenedzsment mennyire elkötelezett a szocializációs programok iránt. A felső szintű menedzserek intézkedései határozzák meg az általános légkört, beleértve azt is, hogy mi az elfogadható viselkedés és mi nem, az alkalmazottak pedig fenntartják és állandósítják a kultúrát.</w:t>
      </w:r>
    </w:p>
    <w:p w14:paraId="48762018" w14:textId="77777777" w:rsidR="007D587C" w:rsidRPr="007D587C" w:rsidRDefault="007D587C" w:rsidP="00445121">
      <w:pPr>
        <w:pStyle w:val="Cmsor3"/>
        <w:numPr>
          <w:ilvl w:val="2"/>
          <w:numId w:val="40"/>
        </w:numPr>
        <w:spacing w:before="120" w:after="120" w:line="240" w:lineRule="auto"/>
        <w:jc w:val="both"/>
        <w:rPr>
          <w:rFonts w:ascii="Times New Roman" w:hAnsi="Times New Roman" w:cs="Times New Roman"/>
        </w:rPr>
      </w:pPr>
      <w:bookmarkStart w:id="134" w:name="_Toc118745221"/>
      <w:bookmarkStart w:id="135" w:name="_Toc145962967"/>
      <w:r w:rsidRPr="007D587C">
        <w:rPr>
          <w:rFonts w:ascii="Times New Roman" w:hAnsi="Times New Roman" w:cs="Times New Roman"/>
        </w:rPr>
        <w:t>Hogyan sajátítják el az alkalmazottak a kultúrát?</w:t>
      </w:r>
      <w:bookmarkEnd w:id="134"/>
      <w:bookmarkEnd w:id="135"/>
    </w:p>
    <w:p w14:paraId="76BA0C09"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kultúra többféle formában jut el a munkavállalókhoz. Ezek közül a leghatásosabbak a történetek, a rituálék, a tárgyi szimbólumok és a nyelv.</w:t>
      </w:r>
    </w:p>
    <w:p w14:paraId="5A6CB4DF" w14:textId="77777777" w:rsidR="007D587C" w:rsidRPr="000F45B4" w:rsidRDefault="007D587C" w:rsidP="007D587C">
      <w:pPr>
        <w:rPr>
          <w:rFonts w:ascii="Times New Roman" w:hAnsi="Times New Roman" w:cs="Times New Roman"/>
        </w:rPr>
      </w:pPr>
      <w:bookmarkStart w:id="136" w:name="_Toc118745222"/>
      <w:r w:rsidRPr="000F45B4">
        <w:rPr>
          <w:rFonts w:ascii="Times New Roman" w:hAnsi="Times New Roman" w:cs="Times New Roman"/>
          <w:b/>
          <w:bCs/>
        </w:rPr>
        <w:t>Történetek</w:t>
      </w:r>
      <w:bookmarkEnd w:id="136"/>
    </w:p>
    <w:p w14:paraId="1763B5BE"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Amikor II. Henry Ford a Ford Motor </w:t>
      </w:r>
      <w:proofErr w:type="spellStart"/>
      <w:r w:rsidRPr="000F45B4">
        <w:rPr>
          <w:rFonts w:ascii="Times New Roman" w:eastAsiaTheme="minorHAnsi" w:hAnsi="Times New Roman" w:cs="Times New Roman"/>
        </w:rPr>
        <w:t>Company</w:t>
      </w:r>
      <w:proofErr w:type="spellEnd"/>
      <w:r w:rsidRPr="000F45B4">
        <w:rPr>
          <w:rFonts w:ascii="Times New Roman" w:eastAsiaTheme="minorHAnsi" w:hAnsi="Times New Roman" w:cs="Times New Roman"/>
        </w:rPr>
        <w:t xml:space="preserve"> elnöke volt, nehéz lett volna olyan menedzsert találni, aki ne hallotta volna, hogyan emlékeztette vezetőit, amikor azok túl arrogánsak lettek: "Az én nevem van az épületen". Az üzenet világos volt: Henry Ford II. irányította a vállalatot. Napjainkban a Nike számos topmenedzsere tölti idejének nagy részét vállalati történetmesélőként. Amikor elmesélik, hogy a társalapító (és oregoni atlétikaedző) Bill </w:t>
      </w:r>
      <w:proofErr w:type="spellStart"/>
      <w:r w:rsidRPr="000F45B4">
        <w:rPr>
          <w:rFonts w:ascii="Times New Roman" w:eastAsiaTheme="minorHAnsi" w:hAnsi="Times New Roman" w:cs="Times New Roman"/>
        </w:rPr>
        <w:t>Bowerman</w:t>
      </w:r>
      <w:proofErr w:type="spellEnd"/>
      <w:r w:rsidRPr="000F45B4">
        <w:rPr>
          <w:rFonts w:ascii="Times New Roman" w:eastAsiaTheme="minorHAnsi" w:hAnsi="Times New Roman" w:cs="Times New Roman"/>
        </w:rPr>
        <w:t xml:space="preserve">, hogyan ment be a műhelyébe, és öntött gumit egy </w:t>
      </w:r>
      <w:proofErr w:type="spellStart"/>
      <w:r w:rsidRPr="000F45B4">
        <w:rPr>
          <w:rFonts w:ascii="Times New Roman" w:eastAsiaTheme="minorHAnsi" w:hAnsi="Times New Roman" w:cs="Times New Roman"/>
        </w:rPr>
        <w:t>gofrisütővasba</w:t>
      </w:r>
      <w:proofErr w:type="spellEnd"/>
      <w:r w:rsidRPr="000F45B4">
        <w:rPr>
          <w:rFonts w:ascii="Times New Roman" w:eastAsiaTheme="minorHAnsi" w:hAnsi="Times New Roman" w:cs="Times New Roman"/>
        </w:rPr>
        <w:t>, hogy jobb futócipőt hozzon létre, akkor a Nike innovációs szelleméről beszélnek. A szervezet alapítóiról, a szabályok megszegéséről, a sikerekről, a létszámcsökkentésekről, az alkalmazottak áthelyezéséről, a múltbeli hibákra adott reakciókról és a szervezeti megküzdésről szóló elbeszélések számos szervezetben keringenek, életben tartják a közös múltat, és legitimálják a jelenlegi gyakorlatokat. Az alkalmazottak saját narratívákat is alkotnak arról, hogyan illeszkedtek vagy nem illeszkedtek a szervezetbe a szocializációs folyamat során, beleértve az első munkanapokat, a másokkal való korai interakciókat és a szervezeti életről szerzett első benyomásokat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2020).</w:t>
      </w:r>
    </w:p>
    <w:p w14:paraId="673FEE9F" w14:textId="77777777" w:rsidR="007D587C" w:rsidRPr="000F45B4" w:rsidRDefault="007D587C" w:rsidP="007D587C">
      <w:pPr>
        <w:rPr>
          <w:rFonts w:ascii="Times New Roman" w:hAnsi="Times New Roman" w:cs="Times New Roman"/>
        </w:rPr>
      </w:pPr>
      <w:bookmarkStart w:id="137" w:name="_Toc118745223"/>
      <w:r w:rsidRPr="000F45B4">
        <w:rPr>
          <w:rFonts w:ascii="Times New Roman" w:hAnsi="Times New Roman" w:cs="Times New Roman"/>
          <w:b/>
          <w:bCs/>
        </w:rPr>
        <w:t>Rituálék</w:t>
      </w:r>
      <w:bookmarkEnd w:id="137"/>
    </w:p>
    <w:p w14:paraId="1AB2373C"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rituálék olyan ismétlődő tevékenységsorozatok, amelyek kifejezik és megerősítik a szervezet kulcsfontosságú értékeit – mely célok a legfontosabbak, és/vagy kik a fontos emberek, és kik a feláldozhatók. A hagyományos rituálékon túl manapság a vállalatok nem hagyományos rituálékkal is támogatják kultúrájuk értékeit. A </w:t>
      </w:r>
      <w:proofErr w:type="spellStart"/>
      <w:r w:rsidRPr="000F45B4">
        <w:rPr>
          <w:rFonts w:ascii="Times New Roman" w:eastAsiaTheme="minorHAnsi" w:hAnsi="Times New Roman" w:cs="Times New Roman"/>
        </w:rPr>
        <w:t>Kimpton</w:t>
      </w:r>
      <w:proofErr w:type="spellEnd"/>
      <w:r w:rsidRPr="000F45B4">
        <w:rPr>
          <w:rFonts w:ascii="Times New Roman" w:eastAsiaTheme="minorHAnsi" w:hAnsi="Times New Roman" w:cs="Times New Roman"/>
        </w:rPr>
        <w:t xml:space="preserve"> Hotels &amp; </w:t>
      </w:r>
      <w:proofErr w:type="spellStart"/>
      <w:r w:rsidRPr="000F45B4">
        <w:rPr>
          <w:rFonts w:ascii="Times New Roman" w:eastAsiaTheme="minorHAnsi" w:hAnsi="Times New Roman" w:cs="Times New Roman"/>
        </w:rPr>
        <w:t>Restaurants</w:t>
      </w:r>
      <w:proofErr w:type="spellEnd"/>
      <w:r w:rsidRPr="000F45B4">
        <w:rPr>
          <w:rFonts w:ascii="Times New Roman" w:eastAsiaTheme="minorHAnsi" w:hAnsi="Times New Roman" w:cs="Times New Roman"/>
        </w:rPr>
        <w:t xml:space="preserve">, amely a </w:t>
      </w:r>
      <w:proofErr w:type="spellStart"/>
      <w:r w:rsidRPr="000F45B4">
        <w:rPr>
          <w:rFonts w:ascii="Times New Roman" w:eastAsiaTheme="minorHAnsi" w:hAnsi="Times New Roman" w:cs="Times New Roman"/>
        </w:rPr>
        <w:t>Fortune</w:t>
      </w:r>
      <w:proofErr w:type="spellEnd"/>
      <w:r w:rsidRPr="000F45B4">
        <w:rPr>
          <w:rFonts w:ascii="Times New Roman" w:eastAsiaTheme="minorHAnsi" w:hAnsi="Times New Roman" w:cs="Times New Roman"/>
        </w:rPr>
        <w:t xml:space="preserve"> 100 legjobb vállalatának egyike, olyan hagyományokkal tartja fenn ügyfélközpontú kultúráját, mint például a háztartási olimpia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2020).</w:t>
      </w:r>
    </w:p>
    <w:p w14:paraId="41FDBABC" w14:textId="77777777" w:rsidR="007D587C" w:rsidRPr="000F45B4" w:rsidRDefault="007D587C" w:rsidP="007D587C">
      <w:pPr>
        <w:rPr>
          <w:rFonts w:ascii="Times New Roman" w:hAnsi="Times New Roman" w:cs="Times New Roman"/>
        </w:rPr>
      </w:pPr>
      <w:bookmarkStart w:id="138" w:name="_Toc118745224"/>
      <w:r w:rsidRPr="000F45B4">
        <w:rPr>
          <w:rFonts w:ascii="Times New Roman" w:hAnsi="Times New Roman" w:cs="Times New Roman"/>
          <w:b/>
          <w:bCs/>
        </w:rPr>
        <w:t>Szimbólumok</w:t>
      </w:r>
      <w:bookmarkEnd w:id="138"/>
    </w:p>
    <w:p w14:paraId="3DF19224"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vállalati központok elrendezése, az irodák mérete, a berendezés eleganciája, a topmenedzserek autóinak típusa, esetleg a vállalati repülőgépek jelenléte vagy hiánya, a juttatások és az öltözködés mind alkalmasak arra, hogy közvetítsék az alkalmazottak felé, hogy ki a fontos, milyen a felső szintű menedzsment által kívánt egyenlőségi szint, és milyen a megfelelő viselkedés. Az anyagi szimbólumok a kapcsolat érzését is biztosítják, és érzelmeket keltenek a szimbólumot értelmező alkalmazottakban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2020).</w:t>
      </w:r>
    </w:p>
    <w:p w14:paraId="778052BB" w14:textId="77777777" w:rsidR="007D587C" w:rsidRPr="000F45B4" w:rsidRDefault="007D587C" w:rsidP="007D587C">
      <w:pPr>
        <w:rPr>
          <w:rFonts w:ascii="Times New Roman" w:hAnsi="Times New Roman" w:cs="Times New Roman"/>
        </w:rPr>
      </w:pPr>
      <w:bookmarkStart w:id="139" w:name="_Toc118745225"/>
      <w:r w:rsidRPr="000F45B4">
        <w:rPr>
          <w:rFonts w:ascii="Times New Roman" w:hAnsi="Times New Roman" w:cs="Times New Roman"/>
          <w:b/>
          <w:bCs/>
        </w:rPr>
        <w:t>Nyelv</w:t>
      </w:r>
      <w:bookmarkEnd w:id="139"/>
    </w:p>
    <w:p w14:paraId="10F2C01B"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Számos szervezet és azon belül számos alegység használja a nyelvet, hogy segítse a tagokat a kultúrával való azonosulásban, tanúsítsa annak elfogadását, és hozzájáruljon annak megőrzéséhez. Egységes, a szervezet tagjai számára megszokott kifejezéseket használnak az üzlethez kapcsolódó berendezések, tisztségviselők, kulcsszemélyek, beszállítók, ügyfelek, termékek megnevezésére. Az új alkalmazottakat </w:t>
      </w:r>
      <w:r w:rsidRPr="000F45B4">
        <w:rPr>
          <w:rFonts w:ascii="Times New Roman" w:eastAsiaTheme="minorHAnsi" w:hAnsi="Times New Roman" w:cs="Times New Roman"/>
        </w:rPr>
        <w:lastRenderedPageBreak/>
        <w:t>eleinte megdöbbenthetik a rövidítések és a szakzsargon, de miután elsajátították a közös nyelvet, az jól szolgálja az adott kultúra vagy szubkultúra tagjainak egyesítését (</w:t>
      </w:r>
      <w:proofErr w:type="spellStart"/>
      <w:r w:rsidRPr="000F45B4">
        <w:rPr>
          <w:rFonts w:ascii="Times New Roman" w:eastAsiaTheme="minorHAnsi" w:hAnsi="Times New Roman" w:cs="Times New Roman"/>
        </w:rPr>
        <w:t>Robbins</w:t>
      </w:r>
      <w:proofErr w:type="spellEnd"/>
      <w:r w:rsidRPr="000F45B4">
        <w:rPr>
          <w:rFonts w:ascii="Times New Roman" w:eastAsiaTheme="minorHAnsi" w:hAnsi="Times New Roman" w:cs="Times New Roman"/>
        </w:rPr>
        <w:t xml:space="preserve"> &amp; </w:t>
      </w:r>
      <w:proofErr w:type="spellStart"/>
      <w:r w:rsidRPr="000F45B4">
        <w:rPr>
          <w:rFonts w:ascii="Times New Roman" w:eastAsiaTheme="minorHAnsi" w:hAnsi="Times New Roman" w:cs="Times New Roman"/>
        </w:rPr>
        <w:t>Judge</w:t>
      </w:r>
      <w:proofErr w:type="spellEnd"/>
      <w:r w:rsidRPr="000F45B4">
        <w:rPr>
          <w:rFonts w:ascii="Times New Roman" w:eastAsiaTheme="minorHAnsi" w:hAnsi="Times New Roman" w:cs="Times New Roman"/>
        </w:rPr>
        <w:t>, 2020).</w:t>
      </w:r>
    </w:p>
    <w:p w14:paraId="4BC07C23" w14:textId="77777777" w:rsidR="007D587C" w:rsidRPr="007D587C" w:rsidRDefault="007D587C" w:rsidP="00445121">
      <w:pPr>
        <w:pStyle w:val="Cmsor3"/>
        <w:numPr>
          <w:ilvl w:val="2"/>
          <w:numId w:val="40"/>
        </w:numPr>
        <w:spacing w:before="120" w:after="120" w:line="240" w:lineRule="auto"/>
        <w:jc w:val="both"/>
        <w:rPr>
          <w:rFonts w:ascii="Times New Roman" w:hAnsi="Times New Roman" w:cs="Times New Roman"/>
        </w:rPr>
      </w:pPr>
      <w:bookmarkStart w:id="140" w:name="_Toc118745226"/>
      <w:bookmarkStart w:id="141" w:name="_Toc145962968"/>
      <w:r w:rsidRPr="007D587C">
        <w:rPr>
          <w:rFonts w:ascii="Times New Roman" w:hAnsi="Times New Roman" w:cs="Times New Roman"/>
        </w:rPr>
        <w:t>A szervezeti kultúra befolyásolása</w:t>
      </w:r>
      <w:bookmarkEnd w:id="140"/>
      <w:bookmarkEnd w:id="141"/>
    </w:p>
    <w:p w14:paraId="32672AA0"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Egy szervezet kultúráját tehát az alapítók határozzák meg, és gyakran nehéz azt megváltoztatni. Ritkán fordul elő az az ideális forgatókönyv, hogy egy erős alapító vagy alapítók előzetesen gondosan megtervezik a szervezet kultúráját. A szervezeti kultúra általában szervesen fejlődik a szervezet létezése során. Ez a fejlődés folyamatos és minden egyes alkalmazotton keresztül zajlik, a befolyásolására pedig leginkább a környezet etikai, pozitív és/vagy spirituális aspektusainak erősítésévél van lehetőség.</w:t>
      </w:r>
    </w:p>
    <w:p w14:paraId="3ADB02C8" w14:textId="77777777" w:rsidR="007D587C" w:rsidRPr="000F45B4" w:rsidRDefault="007D587C" w:rsidP="007D587C">
      <w:pPr>
        <w:rPr>
          <w:rFonts w:ascii="Times New Roman" w:hAnsi="Times New Roman" w:cs="Times New Roman"/>
        </w:rPr>
      </w:pPr>
      <w:bookmarkStart w:id="142" w:name="_Toc118745227"/>
      <w:r w:rsidRPr="000F45B4">
        <w:rPr>
          <w:rFonts w:ascii="Times New Roman" w:hAnsi="Times New Roman" w:cs="Times New Roman"/>
          <w:b/>
          <w:bCs/>
        </w:rPr>
        <w:t>Etikus kultúra kialakítása</w:t>
      </w:r>
      <w:bookmarkEnd w:id="142"/>
    </w:p>
    <w:p w14:paraId="7F069782"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széles körben elterjedt etikus légkörnek a szervezet csúcsán kell kezdődnie. Ha a felső szintű menedzsment hangsúlyozza az erős etikai normákat, értékeket, a különböző szintű menedzserek nagyobb valószínűséggel gyakorolnak etikus vezetést. A pozitív attitűdök átragadnak a közvetlen alkalmazottakra, akiknél alacsonyabb lesz a deviáns viselkedés, és magasabb az együttműködés és a segítségnyújtás szintje. Számos tanulmány támasztja alá azt a következtetést, hogy a felső szintű menedzsment értékrendje jó </w:t>
      </w:r>
      <w:proofErr w:type="spellStart"/>
      <w:r w:rsidRPr="000F45B4">
        <w:rPr>
          <w:rFonts w:ascii="Times New Roman" w:eastAsiaTheme="minorHAnsi" w:hAnsi="Times New Roman" w:cs="Times New Roman"/>
        </w:rPr>
        <w:t>előrejelzője</w:t>
      </w:r>
      <w:proofErr w:type="spellEnd"/>
      <w:r w:rsidRPr="000F45B4">
        <w:rPr>
          <w:rFonts w:ascii="Times New Roman" w:eastAsiaTheme="minorHAnsi" w:hAnsi="Times New Roman" w:cs="Times New Roman"/>
        </w:rPr>
        <w:t xml:space="preserve"> az alkalmazottak etikus viselkedésének. Nyilvánvaló, hogy a rossz típusú szervezeti kultúra negatívan befolyásolhatja a munkavállalók etikus viselkedését. Ezzel szemben az etikus vezetés az etikus kultúra támogatásán, fejlesztésén keresztül bizonyítottan javítja a csoport etikai hangját, vagyis azt, hogy a munkavállalók mennyire érzik magukat kényelmesen, ha a számukra etikátlannak tűnő kérdésekről beszélnek. Azok az alkalmazottak, akiknek etikai értékrendje hasonló a részlegükéihez, nagyobb valószínűséggel kapnak előléptetést, ilyen módon az etikus kultúra nem csak </w:t>
      </w:r>
      <w:proofErr w:type="spellStart"/>
      <w:r w:rsidRPr="000F45B4">
        <w:rPr>
          <w:rFonts w:ascii="Times New Roman" w:eastAsiaTheme="minorHAnsi" w:hAnsi="Times New Roman" w:cs="Times New Roman"/>
        </w:rPr>
        <w:t>felülről</w:t>
      </w:r>
      <w:proofErr w:type="spellEnd"/>
      <w:r w:rsidRPr="000F45B4">
        <w:rPr>
          <w:rFonts w:ascii="Times New Roman" w:eastAsiaTheme="minorHAnsi" w:hAnsi="Times New Roman" w:cs="Times New Roman"/>
        </w:rPr>
        <w:t xml:space="preserve"> lefelé, hanem alulról felfelelé is formálódik a szervezetekben (</w:t>
      </w:r>
      <w:proofErr w:type="spellStart"/>
      <w:r w:rsidRPr="000F45B4">
        <w:rPr>
          <w:rFonts w:ascii="Times New Roman" w:eastAsiaTheme="minorHAnsi" w:hAnsi="Times New Roman" w:cs="Times New Roman"/>
        </w:rPr>
        <w:t>Mulki</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xml:space="preserve">. 2009). </w:t>
      </w:r>
    </w:p>
    <w:p w14:paraId="3AEF42CC"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Az etikus kultúra erősítését azzal mozdíthatja elő a menedzsment, ha jó példával jár elöl és világosan közli az etikai elvárásokat, kidolgozza a szervezet etikai kódexét és ennek alapján következetesen jutalmazza az etikus, és bünteti az etikátlan cselekedeteket. A workshopok és képzési programok szervezésével elősegítheti a menedzsment a szervezet magatartási normáinak megerősítését, a megengedett gyakorlatok tisztázását és a lehetséges etikai dilemmák kezelését. Fontos, hogy a menedzsment kialakítson olyan védőmechanizmusokat, amelyek biztosítják, hogy mindenki megbeszélhesse az etikai dilemmákat és jelenthesse az etikátlan viselkedést anélkül, hogy félne a megrovástól. Ezek közé tartozhat etikai tanácsadók, ombudsmanok vagy etikai tisztviselők kijelölése kapcsolattartói szerepkörben (</w:t>
      </w:r>
      <w:proofErr w:type="spellStart"/>
      <w:r w:rsidRPr="000F45B4">
        <w:rPr>
          <w:rFonts w:ascii="Times New Roman" w:eastAsiaTheme="minorHAnsi" w:hAnsi="Times New Roman" w:cs="Times New Roman"/>
        </w:rPr>
        <w:t>Gruys</w:t>
      </w:r>
      <w:proofErr w:type="spellEnd"/>
      <w:r w:rsidRPr="000F45B4">
        <w:rPr>
          <w:rFonts w:ascii="Times New Roman" w:eastAsiaTheme="minorHAnsi" w:hAnsi="Times New Roman" w:cs="Times New Roman"/>
        </w:rPr>
        <w:t>, 2008).</w:t>
      </w:r>
    </w:p>
    <w:p w14:paraId="07E26D98" w14:textId="77777777" w:rsidR="007D587C" w:rsidRPr="000F45B4" w:rsidRDefault="007D587C" w:rsidP="007D587C">
      <w:pPr>
        <w:rPr>
          <w:rFonts w:ascii="Times New Roman" w:hAnsi="Times New Roman" w:cs="Times New Roman"/>
        </w:rPr>
      </w:pPr>
      <w:bookmarkStart w:id="143" w:name="_Toc118745228"/>
      <w:r w:rsidRPr="000F45B4">
        <w:rPr>
          <w:rFonts w:ascii="Times New Roman" w:hAnsi="Times New Roman" w:cs="Times New Roman"/>
          <w:b/>
          <w:bCs/>
        </w:rPr>
        <w:t>Pozitív kultúra kialakítása</w:t>
      </w:r>
      <w:bookmarkEnd w:id="143"/>
      <w:r w:rsidRPr="000F45B4">
        <w:rPr>
          <w:rFonts w:ascii="Times New Roman" w:hAnsi="Times New Roman" w:cs="Times New Roman"/>
          <w:b/>
          <w:bCs/>
        </w:rPr>
        <w:t xml:space="preserve"> </w:t>
      </w:r>
    </w:p>
    <w:p w14:paraId="14931FC3"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pozitív kultúra kialakítása elsőre reménytelenül naiv koncepciónak tűnhet, azonban a jelenlegi menedzsment gyakorlat és a szervezeti magatartás kutatási eredményei aláhúzzák a létjogosultságát. A pozitív szervezeti kultúra az alkalmazottak erősségeire épít, többet jutalmaz, mint büntet, és ösztönzi az egyéni vitalitást és növekedést. Nemcsak arra figyel, hogy a munkavállaló mivel járul hozzá a szervezeti teljesítményhez, hanem arra is, hogy a szervezet hogyan teheti eredményesebbé a munkavállalót személyes és szakmai értelemben egyaránt. A vezető vállalatok felismerik az emberi fejlődés segítésének értékét.</w:t>
      </w:r>
    </w:p>
    <w:p w14:paraId="6B363083"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Bár sok vállalat alkalmazza a pozitív kultúra egyes aspektusait, ez az ötlet még elég új ahhoz, hogy világos legyen, hogyan és mikor működik a legjobban. Gondot okozhat, ha a pozitív szervezeti kultúra ütközik az egyes érintett nemzeti kultúrákkal, ahogy </w:t>
      </w:r>
      <w:proofErr w:type="spellStart"/>
      <w:r w:rsidRPr="000F45B4">
        <w:rPr>
          <w:rFonts w:ascii="Times New Roman" w:eastAsiaTheme="minorHAnsi" w:hAnsi="Times New Roman" w:cs="Times New Roman"/>
        </w:rPr>
        <w:t>esetenként</w:t>
      </w:r>
      <w:proofErr w:type="spellEnd"/>
      <w:r w:rsidRPr="000F45B4">
        <w:rPr>
          <w:rFonts w:ascii="Times New Roman" w:eastAsiaTheme="minorHAnsi" w:hAnsi="Times New Roman" w:cs="Times New Roman"/>
        </w:rPr>
        <w:t xml:space="preserve"> az adott iparágtól is idegen lehet. Az is kérdés, hogy mikor kezd a pozitív kultúrára való törekvés kényszerítő jellegűnek tűnni. „A pozitivitás társadalmi ortodoxiájának előmozdítása egy bizonyos konstellációra összpontosít, amely előtérbe helyezi a kívánatos állapotok és tulajdonságok egy bizonyos csoportját, de ezzel megbélyegezheti azokat, akik nem illeszkednek ebbe a sablonba" (Fineman, 2006). </w:t>
      </w:r>
    </w:p>
    <w:p w14:paraId="18F00608" w14:textId="77777777" w:rsidR="007D587C" w:rsidRPr="007D587C"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144" w:name="_Toc145363783"/>
      <w:bookmarkStart w:id="145" w:name="_Toc145363855"/>
      <w:bookmarkStart w:id="146" w:name="_Toc145363912"/>
      <w:bookmarkStart w:id="147" w:name="_Toc145364452"/>
      <w:bookmarkStart w:id="148" w:name="_Toc145363784"/>
      <w:bookmarkStart w:id="149" w:name="_Toc145363856"/>
      <w:bookmarkStart w:id="150" w:name="_Toc145363913"/>
      <w:bookmarkStart w:id="151" w:name="_Toc145364453"/>
      <w:bookmarkStart w:id="152" w:name="_Toc145363785"/>
      <w:bookmarkStart w:id="153" w:name="_Toc145363857"/>
      <w:bookmarkStart w:id="154" w:name="_Toc145363914"/>
      <w:bookmarkStart w:id="155" w:name="_Toc145364454"/>
      <w:bookmarkStart w:id="156" w:name="_Toc145363786"/>
      <w:bookmarkStart w:id="157" w:name="_Toc145363858"/>
      <w:bookmarkStart w:id="158" w:name="_Toc145363915"/>
      <w:bookmarkStart w:id="159" w:name="_Toc145364455"/>
      <w:bookmarkStart w:id="160" w:name="_Toc118745230"/>
      <w:bookmarkStart w:id="161" w:name="_Toc145962969"/>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7D587C">
        <w:rPr>
          <w:rFonts w:ascii="Times New Roman" w:hAnsi="Times New Roman" w:cs="Times New Roman"/>
        </w:rPr>
        <w:lastRenderedPageBreak/>
        <w:t>A kultúra globális kontextus</w:t>
      </w:r>
      <w:bookmarkEnd w:id="160"/>
      <w:r w:rsidRPr="007D587C">
        <w:rPr>
          <w:rFonts w:ascii="Times New Roman" w:hAnsi="Times New Roman" w:cs="Times New Roman"/>
        </w:rPr>
        <w:t>a</w:t>
      </w:r>
      <w:bookmarkEnd w:id="161"/>
    </w:p>
    <w:p w14:paraId="4B241EB9"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szervezeti kultúra olyan erős, hogy gyakran túllép a nemzeti határokon. Ez azonban nem jelenti azt, hogy a szervezeteknek figyelmen kívül kellene hagyniuk, vagy figyelmen kívül hagyhatnák a helyi, nemzeti kultúrát. A szervezeti kultúrák gyakran tükrözik a nemzeti kultúrát. Az </w:t>
      </w:r>
      <w:proofErr w:type="spellStart"/>
      <w:r w:rsidRPr="000F45B4">
        <w:rPr>
          <w:rFonts w:ascii="Times New Roman" w:eastAsiaTheme="minorHAnsi" w:hAnsi="Times New Roman" w:cs="Times New Roman"/>
        </w:rPr>
        <w:t>AirAsia</w:t>
      </w:r>
      <w:proofErr w:type="spellEnd"/>
      <w:r w:rsidRPr="000F45B4">
        <w:rPr>
          <w:rFonts w:ascii="Times New Roman" w:eastAsiaTheme="minorHAnsi" w:hAnsi="Times New Roman" w:cs="Times New Roman"/>
        </w:rPr>
        <w:t>, egy malajziai székhelyű légitársaság kultúrája a nyitottságot és a barátságot hangsúlyozza. A légitársaságnál sok összejövetelt tartanak, a vezetés részvételi alapon működik, ami Malajzia viszonylag kollektivista kultúráját tükrözi. Számos amerikai légitársaság kultúrájától eléggé idegen az ilyen fokú kötetlenséget. Ha egy amerikai légitársaság egyesülne egy ázsiaival, akkor figyelembe kellene vennie ezeket a kulturális különbségeket. A szervezeti kultúrák közötti különbségek azonban nem mindig a nemzetközi kulturális különbségekből fakadnak. A US Airways és az American Airlines egyesülésének egyik legnagyobb kihívása a US Airways nyitott galléros kultúrájának és az American nyakig begombolt kultúrájának integrálása volt (</w:t>
      </w:r>
      <w:proofErr w:type="spellStart"/>
      <w:r w:rsidRPr="000F45B4">
        <w:rPr>
          <w:rFonts w:ascii="Times New Roman" w:eastAsiaTheme="minorHAnsi" w:hAnsi="Times New Roman" w:cs="Times New Roman"/>
        </w:rPr>
        <w:t>Nicas</w:t>
      </w:r>
      <w:proofErr w:type="spellEnd"/>
      <w:r w:rsidRPr="000F45B4">
        <w:rPr>
          <w:rFonts w:ascii="Times New Roman" w:eastAsiaTheme="minorHAnsi" w:hAnsi="Times New Roman" w:cs="Times New Roman"/>
        </w:rPr>
        <w:t>, 2013).</w:t>
      </w:r>
    </w:p>
    <w:p w14:paraId="43BB736D"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 nemzeti kulturális különbségek vizsgálatában a legismertebb tipológiát </w:t>
      </w:r>
      <w:proofErr w:type="spellStart"/>
      <w:r w:rsidRPr="000F45B4">
        <w:rPr>
          <w:rFonts w:ascii="Times New Roman" w:eastAsiaTheme="minorHAnsi" w:hAnsi="Times New Roman" w:cs="Times New Roman"/>
        </w:rPr>
        <w:t>Geert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Hofstede</w:t>
      </w:r>
      <w:proofErr w:type="spellEnd"/>
      <w:r w:rsidRPr="000F45B4">
        <w:rPr>
          <w:rFonts w:ascii="Times New Roman" w:eastAsiaTheme="minorHAnsi" w:hAnsi="Times New Roman" w:cs="Times New Roman"/>
        </w:rPr>
        <w:t xml:space="preserve"> </w:t>
      </w:r>
      <w:r w:rsidRPr="000F45B4">
        <w:rPr>
          <w:rFonts w:ascii="Times New Roman" w:eastAsiaTheme="minorHAnsi" w:hAnsi="Times New Roman" w:cs="Times New Roman"/>
          <w:szCs w:val="26"/>
        </w:rPr>
        <w:t xml:space="preserve">(1980) </w:t>
      </w:r>
      <w:r w:rsidRPr="000F45B4">
        <w:rPr>
          <w:rFonts w:ascii="Times New Roman" w:eastAsiaTheme="minorHAnsi" w:hAnsi="Times New Roman" w:cs="Times New Roman"/>
        </w:rPr>
        <w:t>alkotta meg, amelyben eleinte négy fontos dimenziót vizsgált, amit a későbbiekben még további két dimenzióval bővített:</w:t>
      </w:r>
    </w:p>
    <w:p w14:paraId="0947FCBC" w14:textId="77777777" w:rsidR="007D587C" w:rsidRPr="007D587C" w:rsidRDefault="007D587C" w:rsidP="00445121">
      <w:pPr>
        <w:pStyle w:val="Listaszerbekezds"/>
        <w:numPr>
          <w:ilvl w:val="0"/>
          <w:numId w:val="73"/>
        </w:numPr>
        <w:tabs>
          <w:tab w:val="left" w:pos="1985"/>
        </w:tabs>
        <w:rPr>
          <w:rFonts w:cs="Times New Roman"/>
        </w:rPr>
      </w:pPr>
      <w:r w:rsidRPr="007D587C">
        <w:rPr>
          <w:rFonts w:cs="Times New Roman"/>
        </w:rPr>
        <w:t>Hatalmi távolság: azt mutatja, hogy milyen mértékű hatalmi egyenlőtlenséget fogadnak el normálisnak az adott kulturális környezetben.</w:t>
      </w:r>
    </w:p>
    <w:p w14:paraId="29B76D7F" w14:textId="77777777" w:rsidR="007D587C" w:rsidRPr="007D587C" w:rsidRDefault="007D587C" w:rsidP="00445121">
      <w:pPr>
        <w:pStyle w:val="Listaszerbekezds"/>
        <w:numPr>
          <w:ilvl w:val="0"/>
          <w:numId w:val="73"/>
        </w:numPr>
        <w:tabs>
          <w:tab w:val="left" w:pos="1985"/>
        </w:tabs>
        <w:rPr>
          <w:rFonts w:cs="Times New Roman"/>
        </w:rPr>
      </w:pPr>
      <w:r w:rsidRPr="007D587C">
        <w:rPr>
          <w:rFonts w:cs="Times New Roman"/>
        </w:rPr>
        <w:t>Bizonytalanság kerülése: azt mutatja, hogy milyen mértékben tolerálják az adott kultúra egyedei a bizonytalanságot, vagy aggodalmat keltő helyzeteket.</w:t>
      </w:r>
    </w:p>
    <w:p w14:paraId="7CF079A0" w14:textId="77777777" w:rsidR="007D587C" w:rsidRPr="007D587C" w:rsidRDefault="007D587C" w:rsidP="00445121">
      <w:pPr>
        <w:pStyle w:val="Listaszerbekezds"/>
        <w:numPr>
          <w:ilvl w:val="0"/>
          <w:numId w:val="73"/>
        </w:numPr>
        <w:tabs>
          <w:tab w:val="left" w:pos="1985"/>
        </w:tabs>
        <w:rPr>
          <w:rFonts w:cs="Times New Roman"/>
        </w:rPr>
      </w:pPr>
      <w:r w:rsidRPr="007D587C">
        <w:rPr>
          <w:rFonts w:cs="Times New Roman"/>
        </w:rPr>
        <w:t>Individualitás vagy kollektivizmus, azaz mi a fontosabb: én (és a családom) vagy mi, a csoport, a szervezet.</w:t>
      </w:r>
    </w:p>
    <w:p w14:paraId="3076DCD2" w14:textId="77777777" w:rsidR="007D587C" w:rsidRPr="007D587C" w:rsidRDefault="007D587C" w:rsidP="00445121">
      <w:pPr>
        <w:pStyle w:val="Listaszerbekezds"/>
        <w:numPr>
          <w:ilvl w:val="0"/>
          <w:numId w:val="73"/>
        </w:numPr>
        <w:tabs>
          <w:tab w:val="left" w:pos="1985"/>
        </w:tabs>
        <w:rPr>
          <w:rFonts w:cs="Times New Roman"/>
        </w:rPr>
      </w:pPr>
      <w:r w:rsidRPr="007D587C">
        <w:rPr>
          <w:rFonts w:cs="Times New Roman"/>
        </w:rPr>
        <w:t>Férfias vagy nőies értékek dominanciája: melyik jellemző a vizsgált kultúrában.</w:t>
      </w:r>
    </w:p>
    <w:p w14:paraId="5B023B21" w14:textId="77777777" w:rsidR="007D587C" w:rsidRPr="007D587C" w:rsidRDefault="007D587C" w:rsidP="00445121">
      <w:pPr>
        <w:pStyle w:val="Listaszerbekezds"/>
        <w:numPr>
          <w:ilvl w:val="0"/>
          <w:numId w:val="73"/>
        </w:numPr>
        <w:tabs>
          <w:tab w:val="left" w:pos="1985"/>
        </w:tabs>
        <w:rPr>
          <w:rFonts w:cs="Times New Roman"/>
        </w:rPr>
      </w:pPr>
      <w:r w:rsidRPr="007D587C">
        <w:rPr>
          <w:rFonts w:cs="Times New Roman"/>
        </w:rPr>
        <w:t>Hosszú vagy rövidtávú időorientáció, törekszenek-e a dolgok megmagyarázására, vagy elfogadóak (pragmatisták)</w:t>
      </w:r>
    </w:p>
    <w:p w14:paraId="7FA34ED4" w14:textId="77777777" w:rsidR="007D587C" w:rsidRPr="007D587C" w:rsidRDefault="007D587C" w:rsidP="00445121">
      <w:pPr>
        <w:pStyle w:val="Listaszerbekezds"/>
        <w:numPr>
          <w:ilvl w:val="0"/>
          <w:numId w:val="73"/>
        </w:numPr>
        <w:tabs>
          <w:tab w:val="left" w:pos="1985"/>
        </w:tabs>
        <w:rPr>
          <w:rFonts w:cs="Times New Roman"/>
        </w:rPr>
      </w:pPr>
      <w:r w:rsidRPr="007D587C">
        <w:rPr>
          <w:rFonts w:cs="Times New Roman"/>
        </w:rPr>
        <w:t>Engedékenység, korlátozók vagy engedékenyek saját vágyaik kiélésében</w:t>
      </w:r>
    </w:p>
    <w:p w14:paraId="37142629"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hatalmi távolság azt mutatja, hogy az adott ország társadalmában milyen mértékű a különbség a vezetők és a végrehajtók között, mennyire élnek a vezető-beosztott kapcsolatban a hatalomgyakorlásnak az erőteljes, formális elemei, illetve miként jelenik meg az engedelmesség, az egyet nem értés kifejezése. Számos latin-amerikai és ázsiai országra a nagy hatalmi távolság, azaz erős tekintélyelvűség, míg az USA-ra, Kanadára és általában a nyugat-európai országokra az alacsony hatalmi távolság jellemző.</w:t>
      </w:r>
    </w:p>
    <w:p w14:paraId="1B08B236"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bizonytalanságkerülés azt jelenti, hogy milyen erős a szabályokhoz ragaszkodás mértéke, illetve a szervezetek tagjai milyen mértékben képesek kezelni, elfogadni a bizonytalanságot, a környezet változékonyságát és kiszámíthatatlanságát. Az alacsony bizonytalanságkerülési indexű országokban az agresszió és általában az érzelmek kifejezése társadalmilag nem elfogadott.</w:t>
      </w:r>
    </w:p>
    <w:p w14:paraId="37A987C0"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Az individualizmus-kollektivizmus arra utal, hogy az adott ország társadalma mennyiben tartja fontosnak az egyéni szabadságot, az önálló cselekvést. Vannak olyan társadalmak, ahol a közös fellépés, a közösséghez való tartozás, a közösség céljainak elfogadása az alapvető érték (például Indonézia, Japán, Pakisztán stb.), ugyanakkor más országok esetében az egyéni kezdeményezés, az egyéni kockázatvállalás a példa (például Dánia, Franciaország, Kanada, Nagy-Britannia, USA stb.).</w:t>
      </w:r>
    </w:p>
    <w:p w14:paraId="7DC9AB2F"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 férfias-nőies értékek dimenzió arra utal, hogy az adott ország mennyire értékeli a férfias, maszkulin magatartást és szerepet. Ez a határozottságot, a rámenősséget, az erő alkalmazását jelenti. A nőies vagy feminin értékek többek között a gyengédség, a gondoskodás, az együttérzés, vannak olyan országok, amelyek esetében ennek megléte felértékelődik. Maszkulin ország például Ausztria, Japán és Venezuela, míg Dánia, Finnország és Svédország femininek.</w:t>
      </w:r>
    </w:p>
    <w:p w14:paraId="3CB9337E"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Mivel az eredeti kérdőívet nyugati szakemberek állították össze, a keleti kultúrák számára fontos értékek sok esetben bele sem kerültek, lévén, hogy a kutatók nem ítélték azokat fontosnak, lényegesnek. 1991-</w:t>
      </w:r>
      <w:r w:rsidRPr="000F45B4">
        <w:rPr>
          <w:rFonts w:ascii="Times New Roman" w:eastAsiaTheme="minorHAnsi" w:hAnsi="Times New Roman" w:cs="Times New Roman"/>
        </w:rPr>
        <w:lastRenderedPageBreak/>
        <w:t xml:space="preserve">ben a Michael Bond által végzett, kínai alkalmazottak és menedzserek közreműködésével kialakított kutatás eredményei alapján a korábbi négy dimenziót így kiegészítették egy ötödikkel. Az ötödik dimenzió sokáig az úgynevezett időorientáció dimenziója (Long-Term </w:t>
      </w:r>
      <w:proofErr w:type="spellStart"/>
      <w:r w:rsidRPr="000F45B4">
        <w:rPr>
          <w:rFonts w:ascii="Times New Roman" w:eastAsiaTheme="minorHAnsi" w:hAnsi="Times New Roman" w:cs="Times New Roman"/>
        </w:rPr>
        <w:t>Orientation</w:t>
      </w:r>
      <w:proofErr w:type="spellEnd"/>
      <w:r w:rsidRPr="000F45B4">
        <w:rPr>
          <w:rFonts w:ascii="Times New Roman" w:eastAsiaTheme="minorHAnsi" w:hAnsi="Times New Roman" w:cs="Times New Roman"/>
        </w:rPr>
        <w:t>, LTO) nevet viselte, a 2010-es évek eleje óta azonban az ötödik dimenzió a pragmatizmus (</w:t>
      </w:r>
      <w:proofErr w:type="spellStart"/>
      <w:r w:rsidRPr="000F45B4">
        <w:rPr>
          <w:rFonts w:ascii="Times New Roman" w:eastAsiaTheme="minorHAnsi" w:hAnsi="Times New Roman" w:cs="Times New Roman"/>
        </w:rPr>
        <w:t>pragmatism</w:t>
      </w:r>
      <w:proofErr w:type="spellEnd"/>
      <w:r w:rsidRPr="000F45B4">
        <w:rPr>
          <w:rFonts w:ascii="Times New Roman" w:eastAsiaTheme="minorHAnsi" w:hAnsi="Times New Roman" w:cs="Times New Roman"/>
        </w:rPr>
        <w:t>, PRA) lett, majd ismét előtérbe került az LTO elnevezés.</w:t>
      </w:r>
    </w:p>
    <w:p w14:paraId="27F9478F"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Michael </w:t>
      </w:r>
      <w:proofErr w:type="spellStart"/>
      <w:r w:rsidRPr="000F45B4">
        <w:rPr>
          <w:rFonts w:ascii="Times New Roman" w:eastAsiaTheme="minorHAnsi" w:hAnsi="Times New Roman" w:cs="Times New Roman"/>
        </w:rPr>
        <w:t>Minkovnak</w:t>
      </w:r>
      <w:proofErr w:type="spellEnd"/>
      <w:r w:rsidRPr="000F45B4">
        <w:rPr>
          <w:rFonts w:ascii="Times New Roman" w:eastAsiaTheme="minorHAnsi" w:hAnsi="Times New Roman" w:cs="Times New Roman"/>
        </w:rPr>
        <w:t xml:space="preserve"> – a világérték-kutatás (World </w:t>
      </w:r>
      <w:proofErr w:type="spellStart"/>
      <w:r w:rsidRPr="000F45B4">
        <w:rPr>
          <w:rFonts w:ascii="Times New Roman" w:eastAsiaTheme="minorHAnsi" w:hAnsi="Times New Roman" w:cs="Times New Roman"/>
        </w:rPr>
        <w:t>Values</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Survey</w:t>
      </w:r>
      <w:proofErr w:type="spellEnd"/>
      <w:r w:rsidRPr="000F45B4">
        <w:rPr>
          <w:rFonts w:ascii="Times New Roman" w:eastAsiaTheme="minorHAnsi" w:hAnsi="Times New Roman" w:cs="Times New Roman"/>
        </w:rPr>
        <w:t xml:space="preserve">) 93 országra vonatkozó adataira alapuló – elemzése alapján, </w:t>
      </w:r>
      <w:proofErr w:type="spellStart"/>
      <w:r w:rsidRPr="000F45B4">
        <w:rPr>
          <w:rFonts w:ascii="Times New Roman" w:eastAsiaTheme="minorHAnsi" w:hAnsi="Times New Roman" w:cs="Times New Roman"/>
        </w:rPr>
        <w:t>Hofstede</w:t>
      </w:r>
      <w:proofErr w:type="spellEnd"/>
      <w:r w:rsidRPr="000F45B4">
        <w:rPr>
          <w:rFonts w:ascii="Times New Roman" w:eastAsiaTheme="minorHAnsi" w:hAnsi="Times New Roman" w:cs="Times New Roman"/>
        </w:rPr>
        <w:t xml:space="preserve"> egy hatodik dimenzióval egészítette ki az addigiakat 2010-ben publikált könyvében. Ez az új dimenzió az addigi öt dimenzió által még nem érintett, azonban más, úgynevezett „boldogságkutatások” révén már ismert területet fed le, ennek neve engedékenység vagy </w:t>
      </w:r>
      <w:proofErr w:type="spellStart"/>
      <w:r w:rsidRPr="000F45B4">
        <w:rPr>
          <w:rFonts w:ascii="Times New Roman" w:eastAsiaTheme="minorHAnsi" w:hAnsi="Times New Roman" w:cs="Times New Roman"/>
        </w:rPr>
        <w:t>indulgencia</w:t>
      </w:r>
      <w:proofErr w:type="spellEnd"/>
      <w:r w:rsidRPr="000F45B4">
        <w:rPr>
          <w:rFonts w:ascii="Times New Roman" w:eastAsiaTheme="minorHAnsi" w:hAnsi="Times New Roman" w:cs="Times New Roman"/>
        </w:rPr>
        <w:t>.</w:t>
      </w:r>
    </w:p>
    <w:p w14:paraId="213B0A2C"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Minden társadalomnak fenn kell tartania bizonyos kapcsolatokat a saját múltjával, miközben a jelen és a jövő kihívásaival foglalkozik. A társadalmak ezt a két egzisztenciális célt különbözőképpen helyezik előtérbe – ezt a különbséget jeleníti meg a (hosszú vagy rövidtávú) időorientáció dimenziója. Azok a társadalmak, amelyek alacsony pontszámot érnek el ebben a dimenzióban, például inkább fenntartják a régi hagyományokat és normákat, miközben gyanakvással tekintenek a társadalmi változásokra. A magas pontszámot elérő kultúrával rendelkezők viszont pragmatikusabb megközelítést alkalmaznak: a jövőre való felkészülés jegyében ösztönzik a takarékosságot és a modern oktatásra való törekvést. A hosszú távú időorientációjú, pragmatikus orientációjú országok közé tartozik például Németország, Csehország, Magyarország, Olaszország, Japán, Kína, Szingapúr, Indonézia, míg például az USA, Kanada, Ausztrália, Norvégia, Finnország, Irak és Irán rövidtávú időorientációval jellemezhetők, normatívak, erősen törekszenek a dolgok magyarázatára, az igazság, méltányosság képviseletére.</w:t>
      </w:r>
    </w:p>
    <w:p w14:paraId="71020FED"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Az engedékenység (</w:t>
      </w:r>
      <w:proofErr w:type="spellStart"/>
      <w:r w:rsidRPr="000F45B4">
        <w:rPr>
          <w:rFonts w:ascii="Times New Roman" w:eastAsiaTheme="minorHAnsi" w:hAnsi="Times New Roman" w:cs="Times New Roman"/>
        </w:rPr>
        <w:t>Indulgence</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versus</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Restraint</w:t>
      </w:r>
      <w:proofErr w:type="spellEnd"/>
      <w:r w:rsidRPr="000F45B4">
        <w:rPr>
          <w:rFonts w:ascii="Times New Roman" w:eastAsiaTheme="minorHAnsi" w:hAnsi="Times New Roman" w:cs="Times New Roman"/>
        </w:rPr>
        <w:t>) dimenzió annak a mértékét adja meg, hogy az emberek – neveltetésük alapján–, mennyire próbálják meg kontrollálni vágyaikat, impulzivitásukat. A két pólust a relatíve kis kontroll irányába hajló, úgynevezett megengedő (</w:t>
      </w:r>
      <w:proofErr w:type="spellStart"/>
      <w:r w:rsidRPr="000F45B4">
        <w:rPr>
          <w:rFonts w:ascii="Times New Roman" w:eastAsiaTheme="minorHAnsi" w:hAnsi="Times New Roman" w:cs="Times New Roman"/>
        </w:rPr>
        <w:t>indulgence</w:t>
      </w:r>
      <w:proofErr w:type="spellEnd"/>
      <w:r w:rsidRPr="000F45B4">
        <w:rPr>
          <w:rFonts w:ascii="Times New Roman" w:eastAsiaTheme="minorHAnsi" w:hAnsi="Times New Roman" w:cs="Times New Roman"/>
        </w:rPr>
        <w:t>) és a relatíve erős kontrollal jellemezhető korlátozó (</w:t>
      </w:r>
      <w:proofErr w:type="spellStart"/>
      <w:r w:rsidRPr="000F45B4">
        <w:rPr>
          <w:rFonts w:ascii="Times New Roman" w:eastAsiaTheme="minorHAnsi" w:hAnsi="Times New Roman" w:cs="Times New Roman"/>
        </w:rPr>
        <w:t>restrained</w:t>
      </w:r>
      <w:proofErr w:type="spellEnd"/>
      <w:r w:rsidRPr="000F45B4">
        <w:rPr>
          <w:rFonts w:ascii="Times New Roman" w:eastAsiaTheme="minorHAnsi" w:hAnsi="Times New Roman" w:cs="Times New Roman"/>
        </w:rPr>
        <w:t>) kultúrák jelentik. Az előbbi típusba sorolható nemzeti kultúrákban (Észak- és Dél-Amerika, Afrika, Nyugat-Európa területein, illetve a Szaharától délre eső régióban) elfogadott és megengedett az élet élvezetéhez, a szórakozáshoz kapcsolódó vágyak, igények relatíve szabad kielégítése, míg a másik pólus (Ázsia, Kelet-Európa, muszlim világ) esetén szigorú társadalmi normarendszer szabályozza ezen szükségletek kielégítésének kereteit és módját. A mediterrán területek a két pólus közötti jellemzőkkel rendelkeznek.</w:t>
      </w:r>
    </w:p>
    <w:p w14:paraId="7729DE0C" w14:textId="77777777" w:rsidR="007D587C" w:rsidRPr="000F45B4" w:rsidRDefault="007D587C" w:rsidP="007D587C">
      <w:pPr>
        <w:tabs>
          <w:tab w:val="left" w:pos="1985"/>
        </w:tabs>
        <w:spacing w:after="120"/>
        <w:jc w:val="both"/>
        <w:rPr>
          <w:rFonts w:ascii="Times New Roman" w:eastAsiaTheme="minorHAnsi" w:hAnsi="Times New Roman" w:cs="Times New Roman"/>
        </w:rPr>
      </w:pPr>
      <w:proofErr w:type="spellStart"/>
      <w:r w:rsidRPr="000F45B4">
        <w:rPr>
          <w:rFonts w:ascii="Times New Roman" w:eastAsiaTheme="minorHAnsi" w:hAnsi="Times New Roman" w:cs="Times New Roman"/>
        </w:rPr>
        <w:t>Hofstede</w:t>
      </w:r>
      <w:proofErr w:type="spellEnd"/>
      <w:r w:rsidRPr="000F45B4">
        <w:rPr>
          <w:rFonts w:ascii="Times New Roman" w:eastAsiaTheme="minorHAnsi" w:hAnsi="Times New Roman" w:cs="Times New Roman"/>
        </w:rPr>
        <w:t xml:space="preserve"> (2011) kiterjedt vizsgálatokat végzett/végez az egyes országok és régiók sajátosságainak, hasonlóságainak és különbségeinek feltárása érdekében. Ez a tipológia nagy segítséget nyújthat azoknak a menedzsereknek, akik a különböző országokban működő vállalataikat kívánják eredményes együttműködésre késztetni, ill. azoknak, akik határon túli beruházásokra vonatkozó döntések előtt állnak. A szervezetet, ill. annak egyes tagjait megfelelő tréning révén fel lehet készíteni a kulturális különbségek kezelésére.</w:t>
      </w:r>
    </w:p>
    <w:p w14:paraId="1C38623B" w14:textId="77777777" w:rsidR="007D587C" w:rsidRPr="000F45B4" w:rsidRDefault="007D587C" w:rsidP="007D587C">
      <w:pPr>
        <w:tabs>
          <w:tab w:val="left" w:pos="1985"/>
        </w:tabs>
        <w:spacing w:after="120"/>
        <w:jc w:val="both"/>
        <w:rPr>
          <w:rFonts w:ascii="Times New Roman" w:eastAsiaTheme="minorHAnsi" w:hAnsi="Times New Roman" w:cs="Times New Roman"/>
        </w:rPr>
      </w:pPr>
      <w:r w:rsidRPr="000F45B4">
        <w:rPr>
          <w:rFonts w:ascii="Times New Roman" w:eastAsiaTheme="minorHAnsi" w:hAnsi="Times New Roman" w:cs="Times New Roman"/>
        </w:rPr>
        <w:t xml:space="preserve">Az </w:t>
      </w:r>
      <w:r w:rsidRPr="000F45B4">
        <w:rPr>
          <w:rFonts w:ascii="Times New Roman" w:eastAsiaTheme="minorHAnsi" w:hAnsi="Times New Roman" w:cs="Times New Roman"/>
          <w:b/>
          <w:bCs/>
        </w:rPr>
        <w:t>etikus viselkedés</w:t>
      </w:r>
      <w:r w:rsidRPr="000F45B4">
        <w:rPr>
          <w:rFonts w:ascii="Times New Roman" w:eastAsiaTheme="minorHAnsi" w:hAnsi="Times New Roman" w:cs="Times New Roman"/>
        </w:rPr>
        <w:t xml:space="preserve"> kérdése az egyik olyan terület, ahol a nemzeti kultúra súrlódhat a vállalati kultúrával. Egész máshogy ítélik meg például az amerikai és fejlődő gazdaságok menedzserei a megvesztegetés, a nepotizmus és a személyes kapcsolatok előnyben részesítésének. A nemzeti határokon átívelő szervezetekben feszültséget okozhat az </w:t>
      </w:r>
      <w:r w:rsidRPr="000F45B4">
        <w:rPr>
          <w:rFonts w:ascii="Times New Roman" w:eastAsiaTheme="minorHAnsi" w:hAnsi="Times New Roman" w:cs="Times New Roman"/>
          <w:b/>
          <w:bCs/>
        </w:rPr>
        <w:t>érintett országok közös történelme</w:t>
      </w:r>
      <w:r w:rsidRPr="000F45B4">
        <w:rPr>
          <w:rFonts w:ascii="Times New Roman" w:eastAsiaTheme="minorHAnsi" w:hAnsi="Times New Roman" w:cs="Times New Roman"/>
        </w:rPr>
        <w:t xml:space="preserve"> is. A </w:t>
      </w:r>
      <w:proofErr w:type="spellStart"/>
      <w:r w:rsidRPr="000F45B4">
        <w:rPr>
          <w:rFonts w:ascii="Times New Roman" w:eastAsiaTheme="minorHAnsi" w:hAnsi="Times New Roman" w:cs="Times New Roman"/>
        </w:rPr>
        <w:t>Nordea</w:t>
      </w:r>
      <w:proofErr w:type="spellEnd"/>
      <w:r w:rsidRPr="000F45B4">
        <w:rPr>
          <w:rFonts w:ascii="Times New Roman" w:eastAsiaTheme="minorHAnsi" w:hAnsi="Times New Roman" w:cs="Times New Roman"/>
        </w:rPr>
        <w:t xml:space="preserve"> Bank megalakításakor svéd, norvég, finn és dán bankok egyesültek és az egyes alkalmazottaknak az országok történelmi kapcsolatain alapuló sztereotípiái komoly feszültségekhez vezettek. Finnország eredetileg Svédország gyarmata volt, Norvégia pedig előbb Dániához, majd Svédországhoz tartozott. Az a tény, hogy az alkalmazottak egyike sem született még akkor, amikor országuk gyarmat volt, nem számított. A szervezeten belül felnyíló szakadékok áthidalására a </w:t>
      </w:r>
      <w:proofErr w:type="spellStart"/>
      <w:r w:rsidRPr="000F45B4">
        <w:rPr>
          <w:rFonts w:ascii="Times New Roman" w:eastAsiaTheme="minorHAnsi" w:hAnsi="Times New Roman" w:cs="Times New Roman"/>
        </w:rPr>
        <w:t>Nordea</w:t>
      </w:r>
      <w:proofErr w:type="spellEnd"/>
      <w:r w:rsidRPr="000F45B4">
        <w:rPr>
          <w:rFonts w:ascii="Times New Roman" w:eastAsiaTheme="minorHAnsi" w:hAnsi="Times New Roman" w:cs="Times New Roman"/>
        </w:rPr>
        <w:t xml:space="preserve"> a történetmesélést alkalmazta, hogy segítse az alkalmazottak azonosulását a közös földrajzi régiójuk pozitív aspektusaival. A szervezet megerősítette a közös értékeket. Bár a szervezet továbbra is küzd a multinacionális kultúrával, az elért sikerek a nemzeti különbségekre való gondos odafigyelésnek tulajdoníthatók (</w:t>
      </w:r>
      <w:proofErr w:type="spellStart"/>
      <w:r w:rsidRPr="000F45B4">
        <w:rPr>
          <w:rFonts w:ascii="Times New Roman" w:eastAsiaTheme="minorHAnsi" w:hAnsi="Times New Roman" w:cs="Times New Roman"/>
        </w:rPr>
        <w:t>Monin</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et</w:t>
      </w:r>
      <w:proofErr w:type="spellEnd"/>
      <w:r w:rsidRPr="000F45B4">
        <w:rPr>
          <w:rFonts w:ascii="Times New Roman" w:eastAsiaTheme="minorHAnsi" w:hAnsi="Times New Roman" w:cs="Times New Roman"/>
        </w:rPr>
        <w:t xml:space="preserve"> </w:t>
      </w:r>
      <w:proofErr w:type="spellStart"/>
      <w:r w:rsidRPr="000F45B4">
        <w:rPr>
          <w:rFonts w:ascii="Times New Roman" w:eastAsiaTheme="minorHAnsi" w:hAnsi="Times New Roman" w:cs="Times New Roman"/>
        </w:rPr>
        <w:t>al</w:t>
      </w:r>
      <w:proofErr w:type="spellEnd"/>
      <w:r w:rsidRPr="000F45B4">
        <w:rPr>
          <w:rFonts w:ascii="Times New Roman" w:eastAsiaTheme="minorHAnsi" w:hAnsi="Times New Roman" w:cs="Times New Roman"/>
        </w:rPr>
        <w:t xml:space="preserve">., 2013). Az is fontos kérdés, hogy a nemzeti határokon átívelő </w:t>
      </w:r>
      <w:r w:rsidRPr="000F45B4">
        <w:rPr>
          <w:rFonts w:ascii="Times New Roman" w:eastAsiaTheme="minorHAnsi" w:hAnsi="Times New Roman" w:cs="Times New Roman"/>
        </w:rPr>
        <w:lastRenderedPageBreak/>
        <w:t xml:space="preserve">szervezetekben </w:t>
      </w:r>
      <w:r w:rsidRPr="000F45B4">
        <w:rPr>
          <w:rFonts w:ascii="Times New Roman" w:eastAsiaTheme="minorHAnsi" w:hAnsi="Times New Roman" w:cs="Times New Roman"/>
          <w:b/>
          <w:bCs/>
        </w:rPr>
        <w:t>mennyire kell egységesíteni a szervezeti kultúrát</w:t>
      </w:r>
      <w:r w:rsidRPr="000F45B4">
        <w:rPr>
          <w:rFonts w:ascii="Times New Roman" w:eastAsiaTheme="minorHAnsi" w:hAnsi="Times New Roman" w:cs="Times New Roman"/>
        </w:rPr>
        <w:t xml:space="preserve">. Például a szervezeteknek ugyanazokat a wellness-terveket és a munka és a magánélet egyensúlyát célzó kezdeményezéseket kell-e kínálniuk az anyaországtól a szatellit irodákig, vagy ezeket a terveket az egyes társadalmak normáihoz kell igazítaniuk? Mindkét megoldás előidézhet feszültségeket, és egyelőre nincs egyértelmű konszenzus a legjobb megoldásról, de az biztos, hogy a vállalatoknak érzékenyen kell reagálni az eltérő nemzeti kulturális háttérre. </w:t>
      </w:r>
    </w:p>
    <w:p w14:paraId="3A1D2C41" w14:textId="77777777" w:rsidR="007D587C" w:rsidRPr="000F45B4" w:rsidRDefault="007D587C" w:rsidP="007D587C">
      <w:pPr>
        <w:tabs>
          <w:tab w:val="left" w:pos="1985"/>
        </w:tabs>
        <w:spacing w:after="120"/>
        <w:jc w:val="both"/>
        <w:rPr>
          <w:rFonts w:ascii="Times New Roman" w:eastAsiaTheme="minorHAnsi" w:hAnsi="Times New Roman" w:cs="Times New Roman"/>
        </w:rPr>
      </w:pPr>
    </w:p>
    <w:p w14:paraId="0C3783A5" w14:textId="77777777" w:rsidR="007D587C" w:rsidRPr="000F45B4" w:rsidRDefault="007D587C" w:rsidP="007D587C">
      <w:pPr>
        <w:rPr>
          <w:rFonts w:ascii="Times New Roman" w:hAnsi="Times New Roman" w:cs="Times New Roman"/>
        </w:rPr>
      </w:pPr>
      <w:r w:rsidRPr="000F45B4">
        <w:rPr>
          <w:rFonts w:ascii="Times New Roman" w:hAnsi="Times New Roman" w:cs="Times New Roman"/>
        </w:rPr>
        <w:br w:type="page"/>
      </w:r>
    </w:p>
    <w:p w14:paraId="48C2161A" w14:textId="77777777" w:rsidR="007D587C" w:rsidRPr="000F45B4" w:rsidRDefault="007D587C" w:rsidP="00445121">
      <w:pPr>
        <w:pStyle w:val="Cmsor1"/>
        <w:numPr>
          <w:ilvl w:val="0"/>
          <w:numId w:val="40"/>
        </w:numPr>
        <w:spacing w:after="120" w:line="240" w:lineRule="auto"/>
        <w:jc w:val="both"/>
        <w:rPr>
          <w:rFonts w:ascii="Times New Roman" w:hAnsi="Times New Roman" w:cs="Times New Roman"/>
        </w:rPr>
      </w:pPr>
      <w:bookmarkStart w:id="162" w:name="_Toc118750233"/>
      <w:bookmarkStart w:id="163" w:name="_Toc145962970"/>
      <w:r w:rsidRPr="000F45B4">
        <w:rPr>
          <w:rFonts w:ascii="Times New Roman" w:hAnsi="Times New Roman" w:cs="Times New Roman"/>
        </w:rPr>
        <w:lastRenderedPageBreak/>
        <w:t>Vezetési dilemmák és stílusok, a vezető-beosztott viszony dinamikája</w:t>
      </w:r>
      <w:bookmarkEnd w:id="162"/>
      <w:bookmarkEnd w:id="163"/>
      <w:r w:rsidRPr="000F45B4">
        <w:rPr>
          <w:rFonts w:ascii="Times New Roman" w:hAnsi="Times New Roman" w:cs="Times New Roman"/>
        </w:rPr>
        <w:t xml:space="preserve"> </w:t>
      </w:r>
    </w:p>
    <w:p w14:paraId="58D6B005"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164" w:name="_Toc145962971"/>
      <w:r w:rsidRPr="000F45B4">
        <w:rPr>
          <w:rFonts w:ascii="Times New Roman" w:hAnsi="Times New Roman" w:cs="Times New Roman"/>
        </w:rPr>
        <w:t>A vezetés fogalma, a vezetés tulajdonságelméleti megközelítése</w:t>
      </w:r>
      <w:bookmarkEnd w:id="164"/>
    </w:p>
    <w:p w14:paraId="3F2BA215" w14:textId="77777777" w:rsidR="007D587C" w:rsidRPr="000F45B4" w:rsidRDefault="007D587C" w:rsidP="00445121">
      <w:pPr>
        <w:pStyle w:val="Cmsor3"/>
        <w:numPr>
          <w:ilvl w:val="2"/>
          <w:numId w:val="40"/>
        </w:numPr>
        <w:spacing w:before="120" w:after="120" w:line="240" w:lineRule="auto"/>
        <w:jc w:val="both"/>
        <w:rPr>
          <w:rFonts w:ascii="Times New Roman" w:eastAsia="Calibri" w:hAnsi="Times New Roman" w:cs="Times New Roman"/>
        </w:rPr>
      </w:pPr>
      <w:bookmarkStart w:id="165" w:name="_Toc145962972"/>
      <w:r w:rsidRPr="000F45B4">
        <w:rPr>
          <w:rFonts w:ascii="Times New Roman" w:eastAsia="Calibri" w:hAnsi="Times New Roman" w:cs="Times New Roman"/>
        </w:rPr>
        <w:t>A vezetés fogalma</w:t>
      </w:r>
      <w:bookmarkEnd w:id="165"/>
    </w:p>
    <w:p w14:paraId="07F5D98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hétköznapi nyelvben a menedzser és a vezető, illetve a menedzsment és a vezetés fogalmát gyakran szinonimaként használják, a vezetéstudományban azonban különbséget teszünk a két meghatározás között. A </w:t>
      </w:r>
      <w:r w:rsidRPr="000F45B4">
        <w:rPr>
          <w:rFonts w:ascii="Times New Roman" w:eastAsia="Calibri" w:hAnsi="Times New Roman" w:cs="Times New Roman"/>
          <w:bCs/>
        </w:rPr>
        <w:t>menedzsment emberi, fizikai, pénzügyi és információs erőforrások tervezése, szervezése, irányítása és vezetése a szervezeti célok elérése érdekében. A vezetés pedig a dolgozók befolyásolását, mozgósítását, irányítását, motiválását jelenti. A vezetés</w:t>
      </w:r>
      <w:r w:rsidRPr="000F45B4">
        <w:rPr>
          <w:rFonts w:ascii="Times New Roman" w:eastAsia="Calibri" w:hAnsi="Times New Roman" w:cs="Times New Roman"/>
        </w:rPr>
        <w:t xml:space="preserve"> tehát kifejezetten emberekkel kapcsolatos tevékenységként, míg a menedzsment – a munkatársakkal való foglalkozás mellett – a szervezeti célok kitűzéséhez és eléréséhez szükséges egyéb erőforrások menedzseléseként írható le. Ebben a megközelítésben a vezetés a menedzsment részterületeként értelmezhető, az angolszász szóhasználat azonban ettől is élesebben elválasztja a két területet. „</w:t>
      </w:r>
      <w:proofErr w:type="spellStart"/>
      <w:r w:rsidRPr="000F45B4">
        <w:rPr>
          <w:rFonts w:ascii="Times New Roman" w:eastAsia="Calibri" w:hAnsi="Times New Roman" w:cs="Times New Roman"/>
          <w:i/>
        </w:rPr>
        <w:t>Leader</w:t>
      </w:r>
      <w:r w:rsidRPr="000F45B4">
        <w:rPr>
          <w:rFonts w:ascii="Times New Roman" w:eastAsia="Calibri" w:hAnsi="Times New Roman" w:cs="Times New Roman"/>
        </w:rPr>
        <w:t>nek</w:t>
      </w:r>
      <w:proofErr w:type="spellEnd"/>
      <w:r w:rsidRPr="000F45B4">
        <w:rPr>
          <w:rFonts w:ascii="Times New Roman" w:eastAsia="Calibri" w:hAnsi="Times New Roman" w:cs="Times New Roman"/>
        </w:rPr>
        <w:t xml:space="preserve">”, vagyis vezetőnek azokat a személyeket tartják, akiket személyiségükből, habitusukból, karakterükből, az általuk képviselt értékekből adódóan követnek és támogatnak a </w:t>
      </w:r>
      <w:proofErr w:type="spellStart"/>
      <w:r w:rsidRPr="000F45B4">
        <w:rPr>
          <w:rFonts w:ascii="Times New Roman" w:eastAsia="Calibri" w:hAnsi="Times New Roman" w:cs="Times New Roman"/>
        </w:rPr>
        <w:t>beosztottaik</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i/>
        </w:rPr>
        <w:t>manager</w:t>
      </w:r>
      <w:r w:rsidRPr="000F45B4">
        <w:rPr>
          <w:rFonts w:ascii="Times New Roman" w:eastAsia="Calibri" w:hAnsi="Times New Roman" w:cs="Times New Roman"/>
        </w:rPr>
        <w:t>nek</w:t>
      </w:r>
      <w:proofErr w:type="spellEnd"/>
      <w:r w:rsidRPr="000F45B4">
        <w:rPr>
          <w:rFonts w:ascii="Times New Roman" w:eastAsia="Calibri" w:hAnsi="Times New Roman" w:cs="Times New Roman"/>
        </w:rPr>
        <w:t xml:space="preserve"> pedig azokat, akik többnyire különböző osztályokon, szervezeti egységeken belül bizonyos részterületekért (pl. az értékesítésen belül egy-egy termékcsoport értékesítéséért) felelősek. Utóbbi tevékenységhez, irányítói szerepkörhöz is kapcsolódhat alkalmazottak koordinálása, de elsődlegesen az adott terület vagy részterület összefogása a feladatuk. </w:t>
      </w:r>
    </w:p>
    <w:p w14:paraId="7DA7822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Maga a vezetés, vezetői tevékenység többféle szempontból</w:t>
      </w:r>
      <w:r w:rsidRPr="000F45B4">
        <w:rPr>
          <w:rFonts w:ascii="Times New Roman" w:eastAsia="Calibri" w:hAnsi="Times New Roman" w:cs="Times New Roman"/>
          <w:vertAlign w:val="superscript"/>
        </w:rPr>
        <w:t xml:space="preserve"> </w:t>
      </w:r>
      <w:r w:rsidRPr="000F45B4">
        <w:rPr>
          <w:rFonts w:ascii="Times New Roman" w:eastAsia="Calibri" w:hAnsi="Times New Roman" w:cs="Times New Roman"/>
        </w:rPr>
        <w:t>közelíthető meg. Értelmezhető egyszerűbben, mint például "mások követésére bírni" vagy "rávenni az embereket arra, hogy önként tegyenek meg dolgokat", de értelmezhető konkrétabban is, például "a tekintély használata a döntéshozatalban". A vezetést lehet pozícióból adódóan vagy személyes tudás alapján gyakorolni. Alapulhat a személyiségen, vagy tekinthető viselkedési kategóriának. A vezetés, a vezetők szerepe azon képességük szempontjából is vizsgálható, hogy másokat hatékony, átlagon felüli teljesítményre ösztönöznek. Nehéz ezért általánososan tárgyalni a vezetést, de alapvetően egy olyan kapcsolatról van szó, amelyen keresztül egy személy befolyásolja mások viselkedését vagy cselekedeteit (</w:t>
      </w:r>
      <w:proofErr w:type="spellStart"/>
      <w:r w:rsidRPr="000F45B4">
        <w:rPr>
          <w:rFonts w:ascii="Times New Roman" w:eastAsia="Calibri" w:hAnsi="Times New Roman" w:cs="Times New Roman"/>
        </w:rPr>
        <w:t>Mullins</w:t>
      </w:r>
      <w:proofErr w:type="spellEnd"/>
      <w:r w:rsidRPr="000F45B4">
        <w:rPr>
          <w:rFonts w:ascii="Times New Roman" w:eastAsia="Calibri" w:hAnsi="Times New Roman" w:cs="Times New Roman"/>
        </w:rPr>
        <w:t>, 2016).</w:t>
      </w:r>
    </w:p>
    <w:p w14:paraId="1E384DF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vezetés tehát egy összetett, többféle szempontból megközelíthető tevékenység, így a kutatók is különböző aspektusokból vizsgálják: tulajdonságelméleti, magatartástudományi és szituatív megközelítés, valamint a modern, elvárásokon felüli követői teljesítményt és motivációt magyarázó vezetéselméletek (3. ábra).</w:t>
      </w:r>
    </w:p>
    <w:p w14:paraId="71148B25"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73BD768A" wp14:editId="46797E40">
            <wp:extent cx="5258279" cy="2110652"/>
            <wp:effectExtent l="0" t="0" r="0" b="0"/>
            <wp:docPr id="37165656" name="Picture 37165656"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Betűtípus, sor látható&#10;&#10;Automatikusan generált leírás"/>
                    <pic:cNvPicPr/>
                  </pic:nvPicPr>
                  <pic:blipFill>
                    <a:blip r:embed="rId40"/>
                    <a:stretch>
                      <a:fillRect/>
                    </a:stretch>
                  </pic:blipFill>
                  <pic:spPr>
                    <a:xfrm>
                      <a:off x="0" y="0"/>
                      <a:ext cx="5263589" cy="2112783"/>
                    </a:xfrm>
                    <a:prstGeom prst="rect">
                      <a:avLst/>
                    </a:prstGeom>
                  </pic:spPr>
                </pic:pic>
              </a:graphicData>
            </a:graphic>
          </wp:inline>
        </w:drawing>
      </w:r>
    </w:p>
    <w:p w14:paraId="3C2AF909"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rPr>
        <w:t>3. ábra: Vezetéselméleti megközelítések</w:t>
      </w:r>
    </w:p>
    <w:p w14:paraId="57A0AC01" w14:textId="77777777" w:rsidR="007D587C" w:rsidRPr="000F45B4" w:rsidRDefault="007D587C" w:rsidP="007D587C">
      <w:pPr>
        <w:jc w:val="center"/>
        <w:rPr>
          <w:rFonts w:ascii="Times New Roman" w:eastAsia="Calibri" w:hAnsi="Times New Roman" w:cs="Times New Roman"/>
          <w:i/>
          <w:iCs/>
        </w:rPr>
      </w:pPr>
      <w:r w:rsidRPr="000F45B4">
        <w:rPr>
          <w:rFonts w:ascii="Times New Roman" w:eastAsia="Calibri" w:hAnsi="Times New Roman" w:cs="Times New Roman"/>
          <w:i/>
          <w:iCs/>
        </w:rPr>
        <w:t>Forrás: saját ábra (2022)</w:t>
      </w:r>
    </w:p>
    <w:p w14:paraId="49F3851E" w14:textId="77777777" w:rsidR="007D587C" w:rsidRPr="000F45B4" w:rsidRDefault="007D587C" w:rsidP="007D587C">
      <w:pPr>
        <w:jc w:val="both"/>
        <w:rPr>
          <w:rFonts w:ascii="Times New Roman" w:eastAsia="Calibri" w:hAnsi="Times New Roman" w:cs="Times New Roman"/>
        </w:rPr>
      </w:pPr>
    </w:p>
    <w:p w14:paraId="1E46B92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tulajdonságelméleti megközelítés az 1940-es években indult, e vizsgálatok középpontjában az a kérdés áll, hogy milyen tulajdonságokra, személyiségjegyekre van szükség ahhoz, hogy valaki sikeres vezető legyen. A tulajdonságelméleti megközelítés mellett az 1950-es években megjelentek a magatartás-fókuszú kutatások, amelynek képviselői arra próbálnak meg választ adni, hogy hogyan kell viselkednie, milyen vezetési stílust célszerű alkalmaznia az eredményes vezetőnek. A </w:t>
      </w:r>
      <w:proofErr w:type="spellStart"/>
      <w:r w:rsidRPr="000F45B4">
        <w:rPr>
          <w:rFonts w:ascii="Times New Roman" w:eastAsia="Calibri" w:hAnsi="Times New Roman" w:cs="Times New Roman"/>
        </w:rPr>
        <w:t>kontingencia</w:t>
      </w:r>
      <w:proofErr w:type="spellEnd"/>
      <w:r w:rsidRPr="000F45B4">
        <w:rPr>
          <w:rFonts w:ascii="Times New Roman" w:eastAsia="Calibri" w:hAnsi="Times New Roman" w:cs="Times New Roman"/>
        </w:rPr>
        <w:t xml:space="preserve"> (szituatív) elméletek a 70-es években jelentek meg, és a különböző vezetési helyzetekhez, szituációkhoz leginkább illeszkedő vezetői magatartás feltárását tűzték ki célul. </w:t>
      </w:r>
      <w:r w:rsidRPr="000F45B4">
        <w:rPr>
          <w:rFonts w:ascii="Times New Roman" w:eastAsia="Calibri" w:hAnsi="Times New Roman" w:cs="Times New Roman"/>
          <w:color w:val="000000"/>
          <w:shd w:val="clear" w:color="auto" w:fill="FFFFFF"/>
        </w:rPr>
        <w:t xml:space="preserve">Az új (modern) </w:t>
      </w:r>
      <w:proofErr w:type="spellStart"/>
      <w:r w:rsidRPr="000F45B4">
        <w:rPr>
          <w:rFonts w:ascii="Times New Roman" w:eastAsia="Calibri" w:hAnsi="Times New Roman" w:cs="Times New Roman"/>
          <w:color w:val="000000"/>
          <w:shd w:val="clear" w:color="auto" w:fill="FFFFFF"/>
        </w:rPr>
        <w:t>leadership</w:t>
      </w:r>
      <w:proofErr w:type="spellEnd"/>
      <w:r w:rsidRPr="000F45B4">
        <w:rPr>
          <w:rFonts w:ascii="Times New Roman" w:eastAsia="Calibri" w:hAnsi="Times New Roman" w:cs="Times New Roman"/>
          <w:color w:val="000000"/>
          <w:shd w:val="clear" w:color="auto" w:fill="FFFFFF"/>
        </w:rPr>
        <w:t xml:space="preserve"> elméleteket az ezredforduló utolsó két évtizedétől számítjuk, ezek azt próbálják meg leírni, hogy </w:t>
      </w:r>
      <w:r w:rsidRPr="000F45B4">
        <w:rPr>
          <w:rFonts w:ascii="Times New Roman" w:eastAsia="Calibri" w:hAnsi="Times New Roman" w:cs="Times New Roman"/>
        </w:rPr>
        <w:t>mivel magyarázható bizonyos vezetők követőinek átlagon felül teljesítménye, extra motivációja és elkötelezettsége.</w:t>
      </w:r>
    </w:p>
    <w:p w14:paraId="1A3AAEB2"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166" w:name="_Toc145281843"/>
      <w:bookmarkStart w:id="167" w:name="_Toc145281962"/>
      <w:bookmarkStart w:id="168" w:name="_Toc145282364"/>
      <w:bookmarkStart w:id="169" w:name="_Toc145363793"/>
      <w:bookmarkStart w:id="170" w:name="_Toc145363865"/>
      <w:bookmarkStart w:id="171" w:name="_Toc145363921"/>
      <w:bookmarkStart w:id="172" w:name="_Toc145364461"/>
      <w:bookmarkStart w:id="173" w:name="_Toc145281844"/>
      <w:bookmarkStart w:id="174" w:name="_Toc145281963"/>
      <w:bookmarkStart w:id="175" w:name="_Toc145282365"/>
      <w:bookmarkStart w:id="176" w:name="_Toc145363794"/>
      <w:bookmarkStart w:id="177" w:name="_Toc145363866"/>
      <w:bookmarkStart w:id="178" w:name="_Toc145363922"/>
      <w:bookmarkStart w:id="179" w:name="_Toc145364462"/>
      <w:bookmarkStart w:id="180" w:name="_Toc111292695"/>
      <w:bookmarkStart w:id="181" w:name="_Toc118750234"/>
      <w:bookmarkStart w:id="182" w:name="_Toc14596297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0F45B4">
        <w:rPr>
          <w:rFonts w:ascii="Times New Roman" w:hAnsi="Times New Roman" w:cs="Times New Roman"/>
        </w:rPr>
        <w:t>Tulajdonságelméleti megközelítés</w:t>
      </w:r>
      <w:bookmarkEnd w:id="180"/>
      <w:bookmarkEnd w:id="181"/>
      <w:bookmarkEnd w:id="182"/>
    </w:p>
    <w:p w14:paraId="584C90B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sikeres vezetői tevékenységhez szükség van bizonyos tulajdonságokra, a vezetéstudomány korai kutatói e tulajdonságok feltárását tűzték ki célul. A tulajdonságokon alapuló megközelítés a XX. század első felének végén indult és dominált, ebben az időszakban a kutatók azt feltételezték, hogy az eredményes vezetőkben megtalálhatóak bizonyos közös tulajdonságok, amelyek feltárásával előre jelezhető a beválásuk (</w:t>
      </w:r>
      <w:proofErr w:type="spellStart"/>
      <w:r w:rsidRPr="000F45B4">
        <w:rPr>
          <w:rFonts w:ascii="Times New Roman" w:eastAsia="Calibri" w:hAnsi="Times New Roman" w:cs="Times New Roman"/>
        </w:rPr>
        <w:t>Berde</w:t>
      </w:r>
      <w:proofErr w:type="spellEnd"/>
      <w:r w:rsidRPr="000F45B4">
        <w:rPr>
          <w:rFonts w:ascii="Times New Roman" w:eastAsia="Calibri" w:hAnsi="Times New Roman" w:cs="Times New Roman"/>
        </w:rPr>
        <w:t>, 2015). A kutatók vizsgálták a vezetők külső megjelenését, intelligenciájukat, személyiségüket, valamint képességeiket és készségeiket. A kutatási eredmények azonban sok esetben egymásnak ellentmondóak voltak, 1950-ig több mint 100 tanulmány tárta fel a sikeres vezetők tulajdonságait, a sok száz tulajdonságnak azonban mindössze 5%-a volt olyan, amely a kutatások többségében azonos volt (Klein, 2007). Ugyancsak aggályos volt, hogy nem minden vezető rendelkezett a sikeres vezetőktől elvárt tulajdonságokkal és mégis eredményesnek bizonyult, ugyanakkor a tulajdonság megléte sem volt minden esetben garancia a sikerre (</w:t>
      </w:r>
      <w:proofErr w:type="spellStart"/>
      <w:r w:rsidRPr="000F45B4">
        <w:rPr>
          <w:rFonts w:ascii="Times New Roman" w:eastAsia="Calibri" w:hAnsi="Times New Roman" w:cs="Times New Roman"/>
        </w:rPr>
        <w:t>Bakacsi</w:t>
      </w:r>
      <w:proofErr w:type="spellEnd"/>
      <w:r w:rsidRPr="000F45B4">
        <w:rPr>
          <w:rFonts w:ascii="Times New Roman" w:eastAsia="Calibri" w:hAnsi="Times New Roman" w:cs="Times New Roman"/>
        </w:rPr>
        <w:t xml:space="preserve">, 2015). Ennek ellenére a tulajdonságelméleti irányzat ma is élőnek tekinthető, ugyanis a mai napig vannak vezetői személyiségjegyeket feltáró kutatások. </w:t>
      </w:r>
    </w:p>
    <w:p w14:paraId="0C59BE11"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b/>
          <w:bCs/>
        </w:rPr>
        <w:t>Kirton</w:t>
      </w:r>
      <w:proofErr w:type="spellEnd"/>
      <w:r w:rsidRPr="000F45B4">
        <w:rPr>
          <w:rFonts w:ascii="Times New Roman" w:eastAsia="Calibri" w:hAnsi="Times New Roman" w:cs="Times New Roman"/>
          <w:b/>
          <w:bCs/>
        </w:rPr>
        <w:t xml:space="preserve"> </w:t>
      </w:r>
      <w:r w:rsidRPr="000F45B4">
        <w:rPr>
          <w:rFonts w:ascii="Times New Roman" w:eastAsia="Calibri" w:hAnsi="Times New Roman" w:cs="Times New Roman"/>
        </w:rPr>
        <w:t>a témában tartott konferencia-előadásokat összefoglalva azt állítja, hogy a mai kor vezetőjének a következő hét képességre van szüksége:</w:t>
      </w:r>
    </w:p>
    <w:p w14:paraId="69DD3B02"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Döntéshozatal kiszámíthatatlan körülmények között: bizonytalanság-kezelés, "komfortzónán kívüli" működés, iránytű biztosítása;</w:t>
      </w:r>
    </w:p>
    <w:p w14:paraId="672DBBB4"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Fejlődni egy szerencsétlen helyzetből: tanulni a kudarcokból és kezelni a komplexitást;</w:t>
      </w:r>
    </w:p>
    <w:p w14:paraId="6086CB85"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Meghallgatni: felismerni, hogy a vezetők nem rendelkeznek minden válasszal az összetett, sokszínű munkahelyeken;</w:t>
      </w:r>
    </w:p>
    <w:p w14:paraId="2E3A9312"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Elfogadni a visszajelzést, különösen az építő jellegű kritikát, mint tanulási eszközt;</w:t>
      </w:r>
    </w:p>
    <w:p w14:paraId="1828E6A5"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Öntudatosság: érzésekre való </w:t>
      </w:r>
      <w:proofErr w:type="spellStart"/>
      <w:r w:rsidRPr="000F45B4">
        <w:rPr>
          <w:rFonts w:ascii="Times New Roman" w:eastAsia="Calibri" w:hAnsi="Times New Roman" w:cs="Times New Roman"/>
        </w:rPr>
        <w:t>ráhangolódás</w:t>
      </w:r>
      <w:proofErr w:type="spellEnd"/>
      <w:r w:rsidRPr="000F45B4">
        <w:rPr>
          <w:rFonts w:ascii="Times New Roman" w:eastAsia="Calibri" w:hAnsi="Times New Roman" w:cs="Times New Roman"/>
        </w:rPr>
        <w:t xml:space="preserve"> és ha szükséges, intuitív döntések meghozatala;</w:t>
      </w:r>
    </w:p>
    <w:p w14:paraId="7424F7E5"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Érzelmek kordában tartása: kezelni az érzelmeket és nem hagyni, hogy azok irányítsanak;</w:t>
      </w:r>
    </w:p>
    <w:p w14:paraId="4946EF9F"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Mások érzelmeinek figyelembevétele: figyelni és megérteni mások érzéseit és alkalmazkodni hozzájuk (</w:t>
      </w:r>
      <w:proofErr w:type="spellStart"/>
      <w:r w:rsidRPr="000F45B4">
        <w:rPr>
          <w:rFonts w:ascii="Times New Roman" w:eastAsia="Calibri" w:hAnsi="Times New Roman" w:cs="Times New Roman"/>
        </w:rPr>
        <w:t>Kirton</w:t>
      </w:r>
      <w:proofErr w:type="spellEnd"/>
      <w:r w:rsidRPr="000F45B4">
        <w:rPr>
          <w:rFonts w:ascii="Times New Roman" w:eastAsia="Calibri" w:hAnsi="Times New Roman" w:cs="Times New Roman"/>
        </w:rPr>
        <w:t>, 2015).</w:t>
      </w:r>
    </w:p>
    <w:p w14:paraId="41638219"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b/>
          <w:bCs/>
        </w:rPr>
        <w:t xml:space="preserve">Harvard Business </w:t>
      </w:r>
      <w:proofErr w:type="spellStart"/>
      <w:r w:rsidRPr="000F45B4">
        <w:rPr>
          <w:rFonts w:ascii="Times New Roman" w:eastAsia="Calibri" w:hAnsi="Times New Roman" w:cs="Times New Roman"/>
          <w:b/>
          <w:bCs/>
        </w:rPr>
        <w:t>Review</w:t>
      </w:r>
      <w:proofErr w:type="spellEnd"/>
      <w:r w:rsidRPr="000F45B4">
        <w:rPr>
          <w:rFonts w:ascii="Times New Roman" w:eastAsia="Calibri" w:hAnsi="Times New Roman" w:cs="Times New Roman"/>
          <w:b/>
          <w:bCs/>
          <w:vertAlign w:val="superscript"/>
        </w:rPr>
        <w:t xml:space="preserve"> </w:t>
      </w:r>
      <w:r w:rsidRPr="000F45B4">
        <w:rPr>
          <w:rFonts w:ascii="Times New Roman" w:eastAsia="Calibri" w:hAnsi="Times New Roman" w:cs="Times New Roman"/>
        </w:rPr>
        <w:t>közelmúltban végzett, 15 országra, 30 globális szervezetre kiterjedő kutatásában arra kért 195 vezetőt, hogy válasszák ki a 15 általuk legfontosabbnak vélt vezetői tulajdonságot egy 74 tulajdonságot tartalmazó listáról. A vizsgálat eredményei szerint a legjelentősebb vezetői tulajdonságok az alábbi témák köré csoportosíthatók:</w:t>
      </w:r>
    </w:p>
    <w:p w14:paraId="2182E308" w14:textId="77777777" w:rsidR="007D587C" w:rsidRPr="000F45B4" w:rsidRDefault="007D587C" w:rsidP="00445121">
      <w:pPr>
        <w:numPr>
          <w:ilvl w:val="0"/>
          <w:numId w:val="6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Biztonságos és bizalomteljes környezet megteremtése: ennek érdekében a vezetőnek erős etikai irányelvekkel kell rendelkezniük, biztonságérzetet kell teremteniük és világosan kell kommunikálniuk az elvárásaikat a követők felé. A kutatók ezért azt tanácsolják a vezetőknek, hogy mindig az értékeikkel összhangban cselekedjenek, és azonnal korrigáljanak, ha az elveikkel ellentétes döntést hoztak.</w:t>
      </w:r>
    </w:p>
    <w:p w14:paraId="354C7D9A" w14:textId="77777777" w:rsidR="007D587C" w:rsidRPr="000F45B4" w:rsidRDefault="007D587C" w:rsidP="00445121">
      <w:pPr>
        <w:numPr>
          <w:ilvl w:val="0"/>
          <w:numId w:val="6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Önszerveződés támogatása: vezetőként fontos az világos irányvonalak kijelölése, ugyanakkor lehetővé kell tenni a követőknek, hogy saját maguk szervezzék meg munkát és osszák be a munkaidejüket. </w:t>
      </w:r>
    </w:p>
    <w:p w14:paraId="527B52AA" w14:textId="77777777" w:rsidR="007D587C" w:rsidRPr="000F45B4" w:rsidRDefault="007D587C" w:rsidP="00445121">
      <w:pPr>
        <w:numPr>
          <w:ilvl w:val="0"/>
          <w:numId w:val="6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lastRenderedPageBreak/>
        <w:t xml:space="preserve">Kapcsolatok kialakítása és az összetartozás érzésének megteremtése: azok a vezetők, akik "gyakran és nyíltan kommunikálnak" és "megteremtik a közös siker és kudarc érzését", erős alapot teremtenek a kötődéshez. </w:t>
      </w:r>
    </w:p>
    <w:p w14:paraId="601F15CD" w14:textId="77777777" w:rsidR="007D587C" w:rsidRPr="000F45B4" w:rsidRDefault="007D587C" w:rsidP="00445121">
      <w:pPr>
        <w:numPr>
          <w:ilvl w:val="0"/>
          <w:numId w:val="6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Nyitottság az új ötletek iránt és a szervezeti tanulás elősegítése: ez magában foglalja a véleményváltoztatásra és az új ötletekre való nyitottságot, valamint azt, hogy a vezető biztonságot nyújt az új megközelítések kipróbáláshoz és a tévedésekhez. </w:t>
      </w:r>
    </w:p>
    <w:p w14:paraId="239455B5" w14:textId="77777777" w:rsidR="007D587C" w:rsidRPr="000F45B4" w:rsidRDefault="007D587C" w:rsidP="00445121">
      <w:pPr>
        <w:numPr>
          <w:ilvl w:val="0"/>
          <w:numId w:val="6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Fejlődés ösztönzése: lényeges vezetői attitűd az is, hogy elkötelezett legyen a követők folyamatos képzéséért és fejlesztéséért, továbbá segítse őket következő generációs vezetőkké válni (</w:t>
      </w:r>
      <w:proofErr w:type="spellStart"/>
      <w:r w:rsidRPr="000F45B4">
        <w:rPr>
          <w:rFonts w:ascii="Times New Roman" w:eastAsia="Calibri" w:hAnsi="Times New Roman" w:cs="Times New Roman"/>
        </w:rPr>
        <w:t>Giles</w:t>
      </w:r>
      <w:proofErr w:type="spellEnd"/>
      <w:r w:rsidRPr="000F45B4">
        <w:rPr>
          <w:rFonts w:ascii="Times New Roman" w:eastAsia="Calibri" w:hAnsi="Times New Roman" w:cs="Times New Roman"/>
        </w:rPr>
        <w:t>, 2016).</w:t>
      </w:r>
    </w:p>
    <w:p w14:paraId="0CA8BA61"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183" w:name="_Toc111292697"/>
      <w:bookmarkStart w:id="184" w:name="_Toc118750236"/>
      <w:bookmarkStart w:id="185" w:name="_Toc145962974"/>
      <w:r w:rsidRPr="000F45B4">
        <w:rPr>
          <w:rFonts w:ascii="Times New Roman" w:hAnsi="Times New Roman" w:cs="Times New Roman"/>
        </w:rPr>
        <w:t>A vezetés magatartástudományi megközelítés</w:t>
      </w:r>
      <w:bookmarkEnd w:id="183"/>
      <w:bookmarkEnd w:id="184"/>
      <w:r w:rsidRPr="000F45B4">
        <w:rPr>
          <w:rFonts w:ascii="Times New Roman" w:hAnsi="Times New Roman" w:cs="Times New Roman"/>
        </w:rPr>
        <w:t>e</w:t>
      </w:r>
      <w:bookmarkEnd w:id="185"/>
    </w:p>
    <w:p w14:paraId="4002C280"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rPr>
        <w:t xml:space="preserve">A tulajdonságelméleti megközelítés mellett az 1950-es években megjelentek a magatartás-fókuszú vizsgálatok, amelynek </w:t>
      </w:r>
      <w:r w:rsidRPr="000F45B4">
        <w:rPr>
          <w:rFonts w:ascii="Times New Roman" w:eastAsia="Calibri" w:hAnsi="Times New Roman" w:cs="Times New Roman"/>
          <w:color w:val="000000"/>
          <w:shd w:val="clear" w:color="auto" w:fill="FFFFFF"/>
        </w:rPr>
        <w:t xml:space="preserve">képviselői a vezető viselkedésére, megnyilvánulásaira, tetteire fókuszáltak. A megközelítés gondolkodóit két fő csoportra lehet osztani: a vezető személyiségén alapuló és a döntésközpontú elméletek megalkotóira. A vezető személyiségén alapuló megközelítés pedig arra helyezte a hangsúlyt, hogy a vezető a megoldandó feladatra vagy a </w:t>
      </w:r>
      <w:proofErr w:type="spellStart"/>
      <w:r w:rsidRPr="000F45B4">
        <w:rPr>
          <w:rFonts w:ascii="Times New Roman" w:eastAsia="Calibri" w:hAnsi="Times New Roman" w:cs="Times New Roman"/>
          <w:color w:val="000000"/>
          <w:shd w:val="clear" w:color="auto" w:fill="FFFFFF"/>
        </w:rPr>
        <w:t>beosztottaira</w:t>
      </w:r>
      <w:proofErr w:type="spellEnd"/>
      <w:r w:rsidRPr="000F45B4">
        <w:rPr>
          <w:rFonts w:ascii="Times New Roman" w:eastAsia="Calibri" w:hAnsi="Times New Roman" w:cs="Times New Roman"/>
          <w:color w:val="000000"/>
          <w:shd w:val="clear" w:color="auto" w:fill="FFFFFF"/>
        </w:rPr>
        <w:t xml:space="preserve"> fokuszál-e, tehát a csoport teljesítményét vagy a jó kapcsolat(ok) kialakítását tarja-e lényegesebbnek. A legismertebb ezzel kapcsolatos modellek a </w:t>
      </w:r>
      <w:proofErr w:type="spellStart"/>
      <w:r w:rsidRPr="000F45B4">
        <w:rPr>
          <w:rFonts w:ascii="Times New Roman" w:eastAsia="Calibri" w:hAnsi="Times New Roman" w:cs="Times New Roman"/>
          <w:color w:val="000000"/>
          <w:shd w:val="clear" w:color="auto" w:fill="FFFFFF"/>
        </w:rPr>
        <w:t>Michigani</w:t>
      </w:r>
      <w:proofErr w:type="spellEnd"/>
      <w:r w:rsidRPr="000F45B4">
        <w:rPr>
          <w:rFonts w:ascii="Times New Roman" w:eastAsia="Calibri" w:hAnsi="Times New Roman" w:cs="Times New Roman"/>
          <w:color w:val="000000"/>
          <w:shd w:val="clear" w:color="auto" w:fill="FFFFFF"/>
        </w:rPr>
        <w:t xml:space="preserve"> és az Ohioi Egyetem modellje, valamint a Blake-</w:t>
      </w:r>
      <w:proofErr w:type="spellStart"/>
      <w:r w:rsidRPr="000F45B4">
        <w:rPr>
          <w:rFonts w:ascii="Times New Roman" w:eastAsia="Calibri" w:hAnsi="Times New Roman" w:cs="Times New Roman"/>
          <w:color w:val="000000"/>
          <w:shd w:val="clear" w:color="auto" w:fill="FFFFFF"/>
        </w:rPr>
        <w:t>Mouton</w:t>
      </w:r>
      <w:proofErr w:type="spellEnd"/>
      <w:r w:rsidRPr="000F45B4">
        <w:rPr>
          <w:rFonts w:ascii="Times New Roman" w:eastAsia="Calibri" w:hAnsi="Times New Roman" w:cs="Times New Roman"/>
          <w:color w:val="000000"/>
          <w:shd w:val="clear" w:color="auto" w:fill="FFFFFF"/>
        </w:rPr>
        <w:t xml:space="preserve">-féle modell. A döntésközpontú elméletek azt vizsgálták, hogy a vezető hogyan hozza meg a döntéseit, mennyire vonja be a döntéshozatal folyamatába a </w:t>
      </w:r>
      <w:proofErr w:type="spellStart"/>
      <w:r w:rsidRPr="000F45B4">
        <w:rPr>
          <w:rFonts w:ascii="Times New Roman" w:eastAsia="Calibri" w:hAnsi="Times New Roman" w:cs="Times New Roman"/>
          <w:color w:val="000000"/>
          <w:shd w:val="clear" w:color="auto" w:fill="FFFFFF"/>
        </w:rPr>
        <w:t>beosztottait</w:t>
      </w:r>
      <w:proofErr w:type="spellEnd"/>
      <w:r w:rsidRPr="000F45B4">
        <w:rPr>
          <w:rFonts w:ascii="Times New Roman" w:eastAsia="Calibri" w:hAnsi="Times New Roman" w:cs="Times New Roman"/>
          <w:color w:val="000000"/>
          <w:shd w:val="clear" w:color="auto" w:fill="FFFFFF"/>
        </w:rPr>
        <w:t xml:space="preserve">. Ennek az irányzatnak a leghíresebb gondolkodói </w:t>
      </w:r>
      <w:proofErr w:type="spellStart"/>
      <w:r w:rsidRPr="000F45B4">
        <w:rPr>
          <w:rFonts w:ascii="Times New Roman" w:eastAsia="Calibri" w:hAnsi="Times New Roman" w:cs="Times New Roman"/>
          <w:color w:val="000000"/>
          <w:shd w:val="clear" w:color="auto" w:fill="FFFFFF"/>
        </w:rPr>
        <w:t>Lewin</w:t>
      </w:r>
      <w:proofErr w:type="spellEnd"/>
      <w:r w:rsidRPr="000F45B4">
        <w:rPr>
          <w:rFonts w:ascii="Times New Roman" w:eastAsia="Calibri" w:hAnsi="Times New Roman" w:cs="Times New Roman"/>
          <w:color w:val="000000"/>
          <w:shd w:val="clear" w:color="auto" w:fill="FFFFFF"/>
        </w:rPr>
        <w:t xml:space="preserve">, Likert és a </w:t>
      </w:r>
      <w:proofErr w:type="spellStart"/>
      <w:r w:rsidRPr="000F45B4">
        <w:rPr>
          <w:rFonts w:ascii="Times New Roman" w:eastAsia="Calibri" w:hAnsi="Times New Roman" w:cs="Times New Roman"/>
          <w:color w:val="000000"/>
          <w:shd w:val="clear" w:color="auto" w:fill="FFFFFF"/>
        </w:rPr>
        <w:t>Tannenbaum</w:t>
      </w:r>
      <w:proofErr w:type="spellEnd"/>
      <w:r w:rsidRPr="000F45B4">
        <w:rPr>
          <w:rFonts w:ascii="Times New Roman" w:eastAsia="Calibri" w:hAnsi="Times New Roman" w:cs="Times New Roman"/>
          <w:color w:val="000000"/>
          <w:shd w:val="clear" w:color="auto" w:fill="FFFFFF"/>
        </w:rPr>
        <w:t xml:space="preserve"> – Schmidt szerzőpáros. </w:t>
      </w:r>
    </w:p>
    <w:p w14:paraId="44EC893C"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41598961"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b/>
          <w:bCs/>
          <w:color w:val="000000"/>
          <w:shd w:val="clear" w:color="auto" w:fill="FFFFFF"/>
        </w:rPr>
        <w:t>Blake-</w:t>
      </w:r>
      <w:proofErr w:type="spellStart"/>
      <w:r w:rsidRPr="000F45B4">
        <w:rPr>
          <w:rFonts w:ascii="Times New Roman" w:eastAsia="Calibri" w:hAnsi="Times New Roman" w:cs="Times New Roman"/>
          <w:b/>
          <w:bCs/>
          <w:color w:val="000000"/>
          <w:shd w:val="clear" w:color="auto" w:fill="FFFFFF"/>
        </w:rPr>
        <w:t>Mouton</w:t>
      </w:r>
      <w:proofErr w:type="spellEnd"/>
      <w:r w:rsidRPr="000F45B4">
        <w:rPr>
          <w:rFonts w:ascii="Times New Roman" w:eastAsia="Calibri" w:hAnsi="Times New Roman" w:cs="Times New Roman"/>
          <w:b/>
          <w:bCs/>
          <w:color w:val="000000"/>
          <w:shd w:val="clear" w:color="auto" w:fill="FFFFFF"/>
        </w:rPr>
        <w:t>-féle vezetői rácsmodell</w:t>
      </w:r>
      <w:r w:rsidRPr="000F45B4">
        <w:rPr>
          <w:rFonts w:ascii="Times New Roman" w:eastAsia="Calibri" w:hAnsi="Times New Roman" w:cs="Times New Roman"/>
          <w:color w:val="000000"/>
          <w:shd w:val="clear" w:color="auto" w:fill="FFFFFF"/>
        </w:rPr>
        <w:t xml:space="preserve"> (Blake </w:t>
      </w:r>
      <w:r w:rsidRPr="000F45B4">
        <w:rPr>
          <w:rFonts w:ascii="Times New Roman" w:eastAsiaTheme="minorHAnsi" w:hAnsi="Times New Roman" w:cs="Times New Roman"/>
        </w:rPr>
        <w:t>&amp;</w:t>
      </w:r>
      <w:r w:rsidRPr="000F45B4">
        <w:rPr>
          <w:rFonts w:ascii="Times New Roman" w:eastAsia="Calibri" w:hAnsi="Times New Roman" w:cs="Times New Roman"/>
          <w:color w:val="000000"/>
          <w:shd w:val="clear" w:color="auto" w:fill="FFFFFF"/>
        </w:rPr>
        <w:t xml:space="preserve"> </w:t>
      </w:r>
      <w:proofErr w:type="spellStart"/>
      <w:r w:rsidRPr="000F45B4">
        <w:rPr>
          <w:rFonts w:ascii="Times New Roman" w:eastAsia="Calibri" w:hAnsi="Times New Roman" w:cs="Times New Roman"/>
          <w:color w:val="000000"/>
          <w:shd w:val="clear" w:color="auto" w:fill="FFFFFF"/>
        </w:rPr>
        <w:t>Mouton</w:t>
      </w:r>
      <w:proofErr w:type="spellEnd"/>
      <w:r w:rsidRPr="000F45B4">
        <w:rPr>
          <w:rFonts w:ascii="Times New Roman" w:eastAsia="Calibri" w:hAnsi="Times New Roman" w:cs="Times New Roman"/>
          <w:color w:val="000000"/>
          <w:shd w:val="clear" w:color="auto" w:fill="FFFFFF"/>
        </w:rPr>
        <w:t xml:space="preserve">, 1964; Blake </w:t>
      </w:r>
      <w:r w:rsidRPr="000F45B4">
        <w:rPr>
          <w:rFonts w:ascii="Times New Roman" w:eastAsiaTheme="minorHAnsi" w:hAnsi="Times New Roman" w:cs="Times New Roman"/>
        </w:rPr>
        <w:t>&amp;</w:t>
      </w:r>
      <w:r w:rsidRPr="000F45B4">
        <w:rPr>
          <w:rFonts w:ascii="Times New Roman" w:eastAsia="Calibri" w:hAnsi="Times New Roman" w:cs="Times New Roman"/>
          <w:color w:val="000000"/>
          <w:shd w:val="clear" w:color="auto" w:fill="FFFFFF"/>
        </w:rPr>
        <w:t xml:space="preserve"> </w:t>
      </w:r>
      <w:proofErr w:type="spellStart"/>
      <w:r w:rsidRPr="000F45B4">
        <w:rPr>
          <w:rFonts w:ascii="Times New Roman" w:eastAsia="Calibri" w:hAnsi="Times New Roman" w:cs="Times New Roman"/>
          <w:color w:val="000000"/>
          <w:shd w:val="clear" w:color="auto" w:fill="FFFFFF"/>
        </w:rPr>
        <w:t>McCanse</w:t>
      </w:r>
      <w:proofErr w:type="spellEnd"/>
      <w:r w:rsidRPr="000F45B4">
        <w:rPr>
          <w:rFonts w:ascii="Times New Roman" w:eastAsia="Calibri" w:hAnsi="Times New Roman" w:cs="Times New Roman"/>
          <w:color w:val="000000"/>
          <w:shd w:val="clear" w:color="auto" w:fill="FFFFFF"/>
        </w:rPr>
        <w:t xml:space="preserve">, 1991) a vezető figyelmének irányultsága szerint különböztet meg vezetési stílusokat. Az elmélet a vezetési stílusokat két fő dimenzió mentén hasonlítja össze: </w:t>
      </w:r>
    </w:p>
    <w:p w14:paraId="22F82C20" w14:textId="77777777" w:rsidR="007D587C" w:rsidRPr="000F45B4" w:rsidRDefault="007D587C" w:rsidP="00445121">
      <w:pPr>
        <w:numPr>
          <w:ilvl w:val="0"/>
          <w:numId w:val="69"/>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termelésre fordított figyelem: a vezető mekkora hangsúlyt fektet a feladatok elvégzésére, a magas termelési szint elérésére és a nyereség realizálására;</w:t>
      </w:r>
    </w:p>
    <w:p w14:paraId="25C191F5" w14:textId="77777777" w:rsidR="007D587C" w:rsidRPr="000F45B4" w:rsidRDefault="007D587C" w:rsidP="00445121">
      <w:pPr>
        <w:numPr>
          <w:ilvl w:val="0"/>
          <w:numId w:val="69"/>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az emberekre fordított figyelem: a vezető mennyire figyel a beosztottakra és a munkatársakra, mint egyénekre, valamint az ő igényeikre és elvárásaikra.</w:t>
      </w:r>
    </w:p>
    <w:p w14:paraId="0E091EAD" w14:textId="77777777" w:rsidR="007D587C" w:rsidRPr="000F45B4" w:rsidRDefault="007D587C" w:rsidP="007D587C">
      <w:pPr>
        <w:jc w:val="center"/>
        <w:rPr>
          <w:rFonts w:ascii="Times New Roman" w:eastAsia="Calibri" w:hAnsi="Times New Roman" w:cs="Times New Roman"/>
          <w:color w:val="000000"/>
          <w:shd w:val="clear" w:color="auto" w:fill="FFFFFF"/>
        </w:rPr>
      </w:pPr>
      <w:r w:rsidRPr="000F45B4">
        <w:rPr>
          <w:rFonts w:ascii="Times New Roman" w:eastAsia="Calibri" w:hAnsi="Times New Roman" w:cs="Times New Roman"/>
          <w:noProof/>
          <w:sz w:val="20"/>
          <w:szCs w:val="20"/>
        </w:rPr>
        <w:drawing>
          <wp:inline distT="0" distB="0" distL="0" distR="0" wp14:anchorId="3DED294D" wp14:editId="4E5656D3">
            <wp:extent cx="5038344" cy="2638024"/>
            <wp:effectExtent l="0" t="0" r="3810" b="3810"/>
            <wp:docPr id="18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2417" cy="2666336"/>
                    </a:xfrm>
                    <a:prstGeom prst="rect">
                      <a:avLst/>
                    </a:prstGeom>
                  </pic:spPr>
                </pic:pic>
              </a:graphicData>
            </a:graphic>
          </wp:inline>
        </w:drawing>
      </w:r>
    </w:p>
    <w:p w14:paraId="0EEA8EF2" w14:textId="77777777" w:rsidR="007D587C" w:rsidRPr="000F45B4" w:rsidRDefault="007D587C" w:rsidP="007D587C">
      <w:pPr>
        <w:pStyle w:val="Listaszerbekezds"/>
        <w:spacing w:after="0"/>
        <w:jc w:val="center"/>
        <w:rPr>
          <w:rFonts w:eastAsia="Calibri" w:cs="Times New Roman"/>
          <w:color w:val="000000"/>
          <w:sz w:val="20"/>
          <w:szCs w:val="20"/>
          <w:shd w:val="clear" w:color="auto" w:fill="FFFFFF"/>
        </w:rPr>
      </w:pPr>
      <w:r w:rsidRPr="000F45B4">
        <w:rPr>
          <w:rFonts w:eastAsia="Calibri" w:cs="Times New Roman"/>
          <w:color w:val="000000"/>
          <w:sz w:val="20"/>
          <w:szCs w:val="20"/>
          <w:shd w:val="clear" w:color="auto" w:fill="FFFFFF"/>
        </w:rPr>
        <w:t>4. ábra: A Blake-</w:t>
      </w:r>
      <w:proofErr w:type="spellStart"/>
      <w:r w:rsidRPr="000F45B4">
        <w:rPr>
          <w:rFonts w:eastAsia="Calibri" w:cs="Times New Roman"/>
          <w:color w:val="000000"/>
          <w:sz w:val="20"/>
          <w:szCs w:val="20"/>
          <w:shd w:val="clear" w:color="auto" w:fill="FFFFFF"/>
        </w:rPr>
        <w:t>Mouton</w:t>
      </w:r>
      <w:proofErr w:type="spellEnd"/>
      <w:r w:rsidRPr="000F45B4">
        <w:rPr>
          <w:rFonts w:eastAsia="Calibri" w:cs="Times New Roman"/>
          <w:color w:val="000000"/>
          <w:sz w:val="20"/>
          <w:szCs w:val="20"/>
          <w:shd w:val="clear" w:color="auto" w:fill="FFFFFF"/>
        </w:rPr>
        <w:t>-féle rácsmodell</w:t>
      </w:r>
    </w:p>
    <w:p w14:paraId="577A80F3" w14:textId="77777777" w:rsidR="007D587C" w:rsidRPr="000F45B4" w:rsidRDefault="007D587C" w:rsidP="007D587C">
      <w:pPr>
        <w:jc w:val="center"/>
        <w:rPr>
          <w:rFonts w:ascii="Times New Roman" w:eastAsia="Calibri" w:hAnsi="Times New Roman" w:cs="Times New Roman"/>
          <w:i/>
          <w:iCs/>
          <w:color w:val="000000"/>
          <w:sz w:val="20"/>
          <w:szCs w:val="20"/>
          <w:shd w:val="clear" w:color="auto" w:fill="FFFFFF"/>
        </w:rPr>
      </w:pPr>
      <w:r w:rsidRPr="000F45B4">
        <w:rPr>
          <w:rFonts w:ascii="Times New Roman" w:eastAsia="Calibri" w:hAnsi="Times New Roman" w:cs="Times New Roman"/>
          <w:i/>
          <w:iCs/>
          <w:color w:val="000000"/>
          <w:sz w:val="20"/>
          <w:szCs w:val="20"/>
          <w:shd w:val="clear" w:color="auto" w:fill="FFFFFF"/>
        </w:rPr>
        <w:t>Forrás: Gyökér (2021)</w:t>
      </w:r>
    </w:p>
    <w:p w14:paraId="11B1DC79"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6F63BA89"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lastRenderedPageBreak/>
        <w:t>A termelésre és az emberekre fordított figyelem adja a modell két dimenzióját, mindkettő esetében egy kilences skálán értékelték a vezető figyelmének mértékét (1: alacsony odafigyelés, 9: maximális odafigyelés). Az eredeti modellt 1964-ben publikálták és 5 vezetési stílust tartalmazott, a szerzők 1991-ben pedig további két vezetési stílussal egészítették ki az elméletet (4. ábra).</w:t>
      </w:r>
    </w:p>
    <w:p w14:paraId="5FF81CE4"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tekintélyelvű vezetők</w:t>
      </w:r>
      <w:r w:rsidRPr="000F45B4">
        <w:rPr>
          <w:rFonts w:ascii="Times New Roman" w:eastAsia="Calibri" w:hAnsi="Times New Roman" w:cs="Times New Roman"/>
          <w:color w:val="000000"/>
          <w:shd w:val="clear" w:color="auto" w:fill="FFFFFF"/>
        </w:rPr>
        <w:t xml:space="preserve"> nagy gondot fordítanak a termelésre és kevés figyelmet szentelnek az emberekre. Ezek a vezetők autokrata beállítottságúak, egyszemélyben </w:t>
      </w:r>
      <w:proofErr w:type="gramStart"/>
      <w:r w:rsidRPr="000F45B4">
        <w:rPr>
          <w:rFonts w:ascii="Times New Roman" w:eastAsia="Calibri" w:hAnsi="Times New Roman" w:cs="Times New Roman"/>
          <w:color w:val="000000"/>
          <w:shd w:val="clear" w:color="auto" w:fill="FFFFFF"/>
        </w:rPr>
        <w:t>hoznak döntéseket</w:t>
      </w:r>
      <w:proofErr w:type="gramEnd"/>
      <w:r w:rsidRPr="000F45B4">
        <w:rPr>
          <w:rFonts w:ascii="Times New Roman" w:eastAsia="Calibri" w:hAnsi="Times New Roman" w:cs="Times New Roman"/>
          <w:color w:val="000000"/>
          <w:shd w:val="clear" w:color="auto" w:fill="FFFFFF"/>
        </w:rPr>
        <w:t>, valamint szigorúan ellenőrzik a munkát és a szabályok betartását. Az embereket a termelés eszközeinek tekintik, a kreativitást és a jó munkahelyi kapcsolatok kialakítását feleslegesnek tartják.</w:t>
      </w:r>
    </w:p>
    <w:p w14:paraId="4C795216"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klub stílusú vezetők</w:t>
      </w:r>
      <w:r w:rsidRPr="000F45B4">
        <w:rPr>
          <w:rFonts w:ascii="Times New Roman" w:eastAsia="Calibri" w:hAnsi="Times New Roman" w:cs="Times New Roman"/>
          <w:color w:val="000000"/>
          <w:shd w:val="clear" w:color="auto" w:fill="FFFFFF"/>
        </w:rPr>
        <w:t xml:space="preserve"> figyelme – a tekintélyelvű vezetőkkel szemben – az emberekre összpontosul.  Az ilyen vezetők igyekeznek elkerülni a konfliktusokat és arra koncentrálnak, hogy a beosztottak kedveljék őket. Abban bíznak, hogy a jó munkahelyi légkör elégedettséget teremt, az elégedett munkaerő pedig jól teljesít.</w:t>
      </w:r>
    </w:p>
    <w:p w14:paraId="654EE81D"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beavatkozást kerülő vezetőt</w:t>
      </w:r>
      <w:r w:rsidRPr="000F45B4">
        <w:rPr>
          <w:rFonts w:ascii="Times New Roman" w:eastAsia="Calibri" w:hAnsi="Times New Roman" w:cs="Times New Roman"/>
          <w:color w:val="000000"/>
          <w:shd w:val="clear" w:color="auto" w:fill="FFFFFF"/>
        </w:rPr>
        <w:t xml:space="preserve"> gyakran hívják </w:t>
      </w:r>
      <w:proofErr w:type="spellStart"/>
      <w:r w:rsidRPr="000F45B4">
        <w:rPr>
          <w:rFonts w:ascii="Times New Roman" w:eastAsia="Calibri" w:hAnsi="Times New Roman" w:cs="Times New Roman"/>
          <w:color w:val="000000"/>
          <w:shd w:val="clear" w:color="auto" w:fill="FFFFFF"/>
        </w:rPr>
        <w:t>laissez-faire-nek</w:t>
      </w:r>
      <w:proofErr w:type="spellEnd"/>
      <w:r w:rsidRPr="000F45B4">
        <w:rPr>
          <w:rFonts w:ascii="Times New Roman" w:eastAsia="Calibri" w:hAnsi="Times New Roman" w:cs="Times New Roman"/>
          <w:color w:val="000000"/>
          <w:shd w:val="clear" w:color="auto" w:fill="FFFFFF"/>
        </w:rPr>
        <w:t>. Ezek a vezetők sem a termelésre, sem az emberekre nem fordítanak figyelmet, éppen csak annyit tesznek, ami a pozíciójuk fenntartásához szükséges.</w:t>
      </w:r>
    </w:p>
    <w:p w14:paraId="1F2B7D60"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szervezeti ember típusú vezetők</w:t>
      </w:r>
      <w:r w:rsidRPr="000F45B4">
        <w:rPr>
          <w:rFonts w:ascii="Times New Roman" w:eastAsia="Calibri" w:hAnsi="Times New Roman" w:cs="Times New Roman"/>
          <w:color w:val="000000"/>
          <w:shd w:val="clear" w:color="auto" w:fill="FFFFFF"/>
        </w:rPr>
        <w:t xml:space="preserve"> közepes mértékben törődnek az emberekkel és a termeléssel. Jól bevált technikákra támaszkodnak és megpróbálnak egyensúlyt teremteni az emberek és a termelés iránti aggodalmuk között, de egyik mellett sem kötelezik el magukat erősen. A konfliktusok esetében kompromisszumra törekszenek, nem a valódi problémamegoldásra.</w:t>
      </w:r>
    </w:p>
    <w:p w14:paraId="6275815F"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team menedzsment stílusú vezetők</w:t>
      </w:r>
      <w:r w:rsidRPr="000F45B4">
        <w:rPr>
          <w:rFonts w:ascii="Times New Roman" w:eastAsia="Calibri" w:hAnsi="Times New Roman" w:cs="Times New Roman"/>
          <w:color w:val="000000"/>
          <w:shd w:val="clear" w:color="auto" w:fill="FFFFFF"/>
        </w:rPr>
        <w:t xml:space="preserve"> nagyfokú törődést tanúsítanak mind az emberek, mind a termelés iránt. Azon dolgoznak, hogy a munkatársakat a legmagasabb szintű teljesítmény elérésére motiválják. Viselkedésüket a csoportmunka és részvétel ösztönzése jellemzi, nyíltan kommunikálnak és rugalmasak a változásokra. </w:t>
      </w:r>
      <w:r w:rsidRPr="000F45B4">
        <w:rPr>
          <w:rFonts w:ascii="Times New Roman" w:eastAsia="Calibri" w:hAnsi="Times New Roman" w:cs="Times New Roman"/>
          <w:i/>
          <w:iCs/>
          <w:color w:val="000000"/>
          <w:shd w:val="clear" w:color="auto" w:fill="FFFFFF"/>
        </w:rPr>
        <w:t>A kutatók ezt a vezetési stílust tartják az ideálisnak</w:t>
      </w:r>
      <w:r w:rsidRPr="000F45B4">
        <w:rPr>
          <w:rFonts w:ascii="Times New Roman" w:eastAsia="Calibri" w:hAnsi="Times New Roman" w:cs="Times New Roman"/>
          <w:color w:val="000000"/>
          <w:shd w:val="clear" w:color="auto" w:fill="FFFFFF"/>
        </w:rPr>
        <w:t xml:space="preserve">. </w:t>
      </w:r>
    </w:p>
    <w:p w14:paraId="50F10DE0"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 xml:space="preserve">paternalista </w:t>
      </w:r>
      <w:r w:rsidRPr="000F45B4">
        <w:rPr>
          <w:rFonts w:ascii="Times New Roman" w:eastAsia="Calibri" w:hAnsi="Times New Roman" w:cs="Times New Roman"/>
          <w:color w:val="000000"/>
          <w:shd w:val="clear" w:color="auto" w:fill="FFFFFF"/>
        </w:rPr>
        <w:t xml:space="preserve">(más néven: atyáskodó) vezető a tekintélyelvű vezetést és a klub stílusú vezetést egyaránt alkalmazza, de nem integráltan, hanem a szituáció függvényében. Magas eredményre törekszik, jutalmaz és büntet annak elérése érdekében. A magas szintű törődést használja arra, hogy jutalmazza az elvárásoknak megfelelő viselkedést, a tekintélyével pedig bünteti az alul teljesítő és a nem megfelelő magatartást tanúsító kollégákat.  </w:t>
      </w:r>
    </w:p>
    <w:p w14:paraId="4AAE2796"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Az </w:t>
      </w:r>
      <w:r w:rsidRPr="000F45B4">
        <w:rPr>
          <w:rFonts w:ascii="Times New Roman" w:eastAsia="Calibri" w:hAnsi="Times New Roman" w:cs="Times New Roman"/>
          <w:i/>
          <w:iCs/>
          <w:color w:val="000000"/>
          <w:shd w:val="clear" w:color="auto" w:fill="FFFFFF"/>
        </w:rPr>
        <w:t>opportunisták</w:t>
      </w:r>
      <w:r w:rsidRPr="000F45B4">
        <w:rPr>
          <w:rFonts w:ascii="Times New Roman" w:eastAsia="Calibri" w:hAnsi="Times New Roman" w:cs="Times New Roman"/>
          <w:color w:val="000000"/>
          <w:shd w:val="clear" w:color="auto" w:fill="FFFFFF"/>
        </w:rPr>
        <w:t xml:space="preserve"> bármilyen rácsstílust használnak, ami az önös érdekeik eléréséhez szükséges. Alkalmazkodnak a helyzetekhez, hogy a maximális előnyre tegyenek szert. Az önös érdekeiket minden esetben prioritásként kezelik, jellemző rájuk a ravaszság és az önzőség, ugyanakkor általában jó stratégák.  </w:t>
      </w:r>
    </w:p>
    <w:p w14:paraId="16317DD6"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Blake és </w:t>
      </w:r>
      <w:proofErr w:type="spellStart"/>
      <w:r w:rsidRPr="000F45B4">
        <w:rPr>
          <w:rFonts w:ascii="Times New Roman" w:eastAsia="Calibri" w:hAnsi="Times New Roman" w:cs="Times New Roman"/>
          <w:color w:val="000000"/>
          <w:shd w:val="clear" w:color="auto" w:fill="FFFFFF"/>
        </w:rPr>
        <w:t>Mouton</w:t>
      </w:r>
      <w:proofErr w:type="spellEnd"/>
      <w:r w:rsidRPr="000F45B4">
        <w:rPr>
          <w:rFonts w:ascii="Times New Roman" w:eastAsia="Calibri" w:hAnsi="Times New Roman" w:cs="Times New Roman"/>
          <w:color w:val="000000"/>
          <w:shd w:val="clear" w:color="auto" w:fill="FFFFFF"/>
        </w:rPr>
        <w:t xml:space="preserve"> rámutattak arra, hogy a vezetőknek általában van egy domináns és egy tartalék stílusuk. Előbbit alkalmazzák a leggyakrabban, utóbbit pedig nagy nyomás esetén, vagy akkor, ha a hagyományos megoldások nem célravezetők.</w:t>
      </w:r>
    </w:p>
    <w:p w14:paraId="03B53424"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599E01CC" w14:textId="77777777" w:rsidR="007D587C" w:rsidRPr="000F45B4" w:rsidRDefault="007D587C" w:rsidP="007D587C">
      <w:pPr>
        <w:jc w:val="both"/>
        <w:rPr>
          <w:rFonts w:ascii="Times New Roman" w:eastAsia="Calibri" w:hAnsi="Times New Roman" w:cs="Times New Roman"/>
          <w:color w:val="000000"/>
          <w:shd w:val="clear" w:color="auto" w:fill="FFFFFF"/>
        </w:rPr>
      </w:pPr>
      <w:proofErr w:type="spellStart"/>
      <w:r w:rsidRPr="000F45B4">
        <w:rPr>
          <w:rFonts w:ascii="Times New Roman" w:eastAsia="Calibri" w:hAnsi="Times New Roman" w:cs="Times New Roman"/>
          <w:b/>
          <w:bCs/>
          <w:color w:val="000000"/>
          <w:shd w:val="clear" w:color="auto" w:fill="FFFFFF"/>
        </w:rPr>
        <w:t>Tannenbaum</w:t>
      </w:r>
      <w:proofErr w:type="spellEnd"/>
      <w:r w:rsidRPr="000F45B4">
        <w:rPr>
          <w:rFonts w:ascii="Times New Roman" w:eastAsia="Calibri" w:hAnsi="Times New Roman" w:cs="Times New Roman"/>
          <w:b/>
          <w:bCs/>
          <w:color w:val="000000"/>
          <w:shd w:val="clear" w:color="auto" w:fill="FFFFFF"/>
        </w:rPr>
        <w:t xml:space="preserve"> és Schmidt</w:t>
      </w:r>
      <w:r w:rsidRPr="000F45B4">
        <w:rPr>
          <w:rFonts w:ascii="Times New Roman" w:eastAsia="Calibri" w:hAnsi="Times New Roman" w:cs="Times New Roman"/>
          <w:b/>
          <w:bCs/>
          <w:color w:val="000000"/>
          <w:shd w:val="clear" w:color="auto" w:fill="FFFFFF"/>
          <w:vertAlign w:val="superscript"/>
        </w:rPr>
        <w:t xml:space="preserve"> </w:t>
      </w:r>
      <w:r w:rsidRPr="000F45B4">
        <w:rPr>
          <w:rFonts w:ascii="Times New Roman" w:hAnsi="Times New Roman" w:cs="Times New Roman"/>
        </w:rPr>
        <w:t>(</w:t>
      </w:r>
      <w:proofErr w:type="spellStart"/>
      <w:r w:rsidRPr="000F45B4">
        <w:rPr>
          <w:rFonts w:ascii="Times New Roman" w:hAnsi="Times New Roman" w:cs="Times New Roman"/>
        </w:rPr>
        <w:t>Tannenbaum</w:t>
      </w:r>
      <w:proofErr w:type="spellEnd"/>
      <w:r w:rsidRPr="000F45B4">
        <w:rPr>
          <w:rFonts w:ascii="Times New Roman" w:hAnsi="Times New Roman" w:cs="Times New Roman"/>
        </w:rPr>
        <w:t xml:space="preserve"> </w:t>
      </w:r>
      <w:r w:rsidRPr="000F45B4">
        <w:rPr>
          <w:rFonts w:ascii="Times New Roman" w:eastAsiaTheme="minorHAnsi" w:hAnsi="Times New Roman" w:cs="Times New Roman"/>
        </w:rPr>
        <w:t>&amp;</w:t>
      </w:r>
      <w:r w:rsidRPr="000F45B4">
        <w:rPr>
          <w:rFonts w:ascii="Times New Roman" w:hAnsi="Times New Roman" w:cs="Times New Roman"/>
        </w:rPr>
        <w:t xml:space="preserve"> Schmidt, 1973) </w:t>
      </w:r>
      <w:r w:rsidRPr="000F45B4">
        <w:rPr>
          <w:rFonts w:ascii="Times New Roman" w:eastAsia="Calibri" w:hAnsi="Times New Roman" w:cs="Times New Roman"/>
          <w:color w:val="000000"/>
          <w:shd w:val="clear" w:color="auto" w:fill="FFFFFF"/>
        </w:rPr>
        <w:t xml:space="preserve">először 1958-ban publikálták a vezetési modelljüket, amit 1973-ban vizsgáltak felül. A modell (5. ábra) a lehetséges vezetői magatartásformák kontinuumát mutatja be a vezető által használt tekintély mértéke, valamint a nem-vezetők döntések meghozatalában rendelkezésre álló szabadsága szerint. </w:t>
      </w:r>
    </w:p>
    <w:p w14:paraId="1DB7DC35"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3187A2B7" w14:textId="77777777" w:rsidR="007D587C" w:rsidRPr="000F45B4" w:rsidRDefault="007D587C" w:rsidP="007D587C">
      <w:pPr>
        <w:jc w:val="center"/>
        <w:rPr>
          <w:rFonts w:ascii="Times New Roman" w:eastAsia="Calibri" w:hAnsi="Times New Roman" w:cs="Times New Roman"/>
          <w:color w:val="000000"/>
          <w:shd w:val="clear" w:color="auto" w:fill="FFFFFF"/>
        </w:rPr>
      </w:pPr>
      <w:r w:rsidRPr="000F45B4">
        <w:rPr>
          <w:rFonts w:ascii="Times New Roman" w:eastAsia="Calibri" w:hAnsi="Times New Roman" w:cs="Times New Roman"/>
          <w:noProof/>
          <w:color w:val="000000"/>
          <w:shd w:val="clear" w:color="auto" w:fill="FFFFFF"/>
        </w:rPr>
        <w:lastRenderedPageBreak/>
        <w:drawing>
          <wp:inline distT="0" distB="0" distL="0" distR="0" wp14:anchorId="614DAD0C" wp14:editId="7BF4A1BD">
            <wp:extent cx="4813738" cy="3093783"/>
            <wp:effectExtent l="0" t="0" r="0" b="5080"/>
            <wp:docPr id="1810008256" name="Kép 1810008256" descr="A képen szöveg, képernyőkép, diagra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56" name="Kép 1810008256" descr="A képen szöveg, képernyőkép, diagram, Betűtípus látható&#10;&#10;Automatikusan generált leírás"/>
                    <pic:cNvPicPr/>
                  </pic:nvPicPr>
                  <pic:blipFill>
                    <a:blip r:embed="rId42"/>
                    <a:stretch>
                      <a:fillRect/>
                    </a:stretch>
                  </pic:blipFill>
                  <pic:spPr>
                    <a:xfrm>
                      <a:off x="0" y="0"/>
                      <a:ext cx="4814055" cy="3093987"/>
                    </a:xfrm>
                    <a:prstGeom prst="rect">
                      <a:avLst/>
                    </a:prstGeom>
                  </pic:spPr>
                </pic:pic>
              </a:graphicData>
            </a:graphic>
          </wp:inline>
        </w:drawing>
      </w:r>
    </w:p>
    <w:p w14:paraId="3B7A0891" w14:textId="77777777" w:rsidR="007D587C" w:rsidRPr="000F45B4" w:rsidRDefault="007D587C" w:rsidP="007D587C">
      <w:pPr>
        <w:jc w:val="center"/>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5. ábra: A vezető és nem-vezetők magatartási kontinuuma</w:t>
      </w:r>
    </w:p>
    <w:p w14:paraId="53A78475" w14:textId="77777777" w:rsidR="007D587C" w:rsidRPr="000F45B4" w:rsidRDefault="007D587C" w:rsidP="007D587C">
      <w:pPr>
        <w:jc w:val="center"/>
        <w:rPr>
          <w:rFonts w:ascii="Times New Roman" w:eastAsia="Calibri" w:hAnsi="Times New Roman" w:cs="Times New Roman"/>
          <w:i/>
          <w:iCs/>
          <w:color w:val="000000"/>
          <w:shd w:val="clear" w:color="auto" w:fill="FFFFFF"/>
        </w:rPr>
      </w:pPr>
      <w:r w:rsidRPr="000F45B4">
        <w:rPr>
          <w:rFonts w:ascii="Times New Roman" w:eastAsia="Calibri" w:hAnsi="Times New Roman" w:cs="Times New Roman"/>
          <w:i/>
          <w:iCs/>
          <w:color w:val="000000"/>
          <w:shd w:val="clear" w:color="auto" w:fill="FFFFFF"/>
        </w:rPr>
        <w:t xml:space="preserve">Forrás: saját szerkesztés </w:t>
      </w:r>
      <w:proofErr w:type="spellStart"/>
      <w:r w:rsidRPr="000F45B4">
        <w:rPr>
          <w:rFonts w:ascii="Times New Roman" w:eastAsia="Calibri" w:hAnsi="Times New Roman" w:cs="Times New Roman"/>
          <w:i/>
          <w:iCs/>
          <w:color w:val="000000"/>
          <w:shd w:val="clear" w:color="auto" w:fill="FFFFFF"/>
        </w:rPr>
        <w:t>Tannenbaum</w:t>
      </w:r>
      <w:proofErr w:type="spellEnd"/>
      <w:r w:rsidRPr="000F45B4">
        <w:rPr>
          <w:rFonts w:ascii="Times New Roman" w:eastAsia="Calibri" w:hAnsi="Times New Roman" w:cs="Times New Roman"/>
          <w:i/>
          <w:iCs/>
          <w:color w:val="000000"/>
          <w:shd w:val="clear" w:color="auto" w:fill="FFFFFF"/>
        </w:rPr>
        <w:t xml:space="preserve"> </w:t>
      </w:r>
      <w:r w:rsidRPr="000F45B4">
        <w:rPr>
          <w:rFonts w:ascii="Times New Roman" w:eastAsiaTheme="minorHAnsi" w:hAnsi="Times New Roman" w:cs="Times New Roman"/>
        </w:rPr>
        <w:t>&amp;</w:t>
      </w:r>
      <w:r w:rsidRPr="000F45B4">
        <w:rPr>
          <w:rFonts w:ascii="Times New Roman" w:eastAsia="Calibri" w:hAnsi="Times New Roman" w:cs="Times New Roman"/>
          <w:i/>
          <w:iCs/>
          <w:color w:val="000000"/>
          <w:shd w:val="clear" w:color="auto" w:fill="FFFFFF"/>
        </w:rPr>
        <w:t xml:space="preserve"> Schmidt (1973) alapján</w:t>
      </w:r>
    </w:p>
    <w:p w14:paraId="5C9157EA"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4EE69CED"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kontinuum mentén haladva a vezető a fenntartott ellenőrzés mértéke szerint jellemezhető a négy fő vezetési stílus valamelyikével:</w:t>
      </w:r>
    </w:p>
    <w:p w14:paraId="001EFFAD" w14:textId="77777777" w:rsidR="007D587C" w:rsidRPr="000F45B4" w:rsidRDefault="007D587C" w:rsidP="00445121">
      <w:pPr>
        <w:numPr>
          <w:ilvl w:val="0"/>
          <w:numId w:val="65"/>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Megmondó: a vezető azonosít egy problémát és döntést hoz, majd azt bejelenti a nem-vezetőknek és elvárva tőlük, hogy azt a részvétel lehetősége nélkül hajtsák végre.</w:t>
      </w:r>
    </w:p>
    <w:p w14:paraId="40433F94" w14:textId="77777777" w:rsidR="007D587C" w:rsidRPr="000F45B4" w:rsidRDefault="007D587C" w:rsidP="00445121">
      <w:pPr>
        <w:numPr>
          <w:ilvl w:val="0"/>
          <w:numId w:val="65"/>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Eladó: a vezető még mindig döntést hoz, de felismeri a döntéssel szembesülők ellenállásának lehetőségét, így megpróbálja meggyőzni a beosztottakat a döntés elfogadásáról.</w:t>
      </w:r>
    </w:p>
    <w:p w14:paraId="6EEADF4A" w14:textId="77777777" w:rsidR="007D587C" w:rsidRPr="000F45B4" w:rsidRDefault="007D587C" w:rsidP="00445121">
      <w:pPr>
        <w:numPr>
          <w:ilvl w:val="0"/>
          <w:numId w:val="65"/>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Konzultáló: a vezető azonosítja a problémát, de addig nem </w:t>
      </w:r>
      <w:proofErr w:type="gramStart"/>
      <w:r w:rsidRPr="000F45B4">
        <w:rPr>
          <w:rFonts w:ascii="Times New Roman" w:eastAsia="Calibri" w:hAnsi="Times New Roman" w:cs="Times New Roman"/>
          <w:color w:val="000000"/>
          <w:shd w:val="clear" w:color="auto" w:fill="FFFFFF"/>
        </w:rPr>
        <w:t>hoz döntést</w:t>
      </w:r>
      <w:proofErr w:type="gramEnd"/>
      <w:r w:rsidRPr="000F45B4">
        <w:rPr>
          <w:rFonts w:ascii="Times New Roman" w:eastAsia="Calibri" w:hAnsi="Times New Roman" w:cs="Times New Roman"/>
          <w:color w:val="000000"/>
          <w:shd w:val="clear" w:color="auto" w:fill="FFFFFF"/>
        </w:rPr>
        <w:t>, amíg a problémát nem ismerteti a csoporttal és nem hallgatja meg a nem-vezetők által javasolt tanácsokat és megoldásokat.</w:t>
      </w:r>
    </w:p>
    <w:p w14:paraId="43850FE5" w14:textId="77777777" w:rsidR="007D587C" w:rsidRPr="000F45B4" w:rsidRDefault="007D587C" w:rsidP="00445121">
      <w:pPr>
        <w:numPr>
          <w:ilvl w:val="0"/>
          <w:numId w:val="65"/>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Csatlakozó: a vezető meghatározza a problémát és azokat a határokat, amelyeken belül a döntést meg kell hozni, majd a csoportra ruházza a döntés jogát, amelynek ő is tagja.</w:t>
      </w:r>
    </w:p>
    <w:p w14:paraId="62BFA153"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szerzőpáros szerint a kívánatos vezetési stílust alapvetően három tényező (vagy erő) befolyásolja, ezek a vezetőben rejlő erők, a beosztottakban rejlő erők és a helyzetben rejlő erők.</w:t>
      </w:r>
    </w:p>
    <w:p w14:paraId="6C9CE4E3"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vezető viselkedését nagymértékben befolyásolják a saját személyiségében működő erők, a vezetői feladatokat pedig sajátos módon éli meg a háttere, a tudása és a tapasztalatai alapján. Ennek megfelelően a vezetőt befolyásoló fontos belső erők között a következők szerepelnek:</w:t>
      </w:r>
    </w:p>
    <w:p w14:paraId="5A05BC58" w14:textId="77777777" w:rsidR="007D587C" w:rsidRPr="000F45B4" w:rsidRDefault="007D587C" w:rsidP="00445121">
      <w:pPr>
        <w:numPr>
          <w:ilvl w:val="0"/>
          <w:numId w:val="66"/>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vezető értékrendje: mennyire érzi úgy, hogy az egyéneknek részt kell venniük az őket érintő döntések meghozatalában? Milyen relatív jelentőséget tulajdonít a szervezeti hatékonyságnak, a beosztottak személyes fejlődésének és a vállalati nyereségnek?</w:t>
      </w:r>
    </w:p>
    <w:p w14:paraId="29175AC1" w14:textId="77777777" w:rsidR="007D587C" w:rsidRPr="000F45B4" w:rsidRDefault="007D587C" w:rsidP="00445121">
      <w:pPr>
        <w:numPr>
          <w:ilvl w:val="0"/>
          <w:numId w:val="66"/>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nem-vezetők iránti bizalma: ki a legalkalmasabb a probléma megoldására? Gyakran előfordulhat, hogy a vezető - akár jogosan, akár nem - jobban bízik saját, mint beosztottjai képességeiben.</w:t>
      </w:r>
    </w:p>
    <w:p w14:paraId="00016F57" w14:textId="77777777" w:rsidR="007D587C" w:rsidRPr="000F45B4" w:rsidRDefault="007D587C" w:rsidP="00445121">
      <w:pPr>
        <w:numPr>
          <w:ilvl w:val="0"/>
          <w:numId w:val="66"/>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Saját vezetői hajlamai: bizonyos vezetőknek a problémák megoldása és a parancsok kiadása könnyen megy, míg mások kényelmesebben működnek csapatszerepben, ahol folyamatosan megosztják számos funkciójukat a nem-vezetőkkel.</w:t>
      </w:r>
    </w:p>
    <w:p w14:paraId="52190C2F" w14:textId="77777777" w:rsidR="007D587C" w:rsidRPr="000F45B4" w:rsidRDefault="007D587C" w:rsidP="00445121">
      <w:pPr>
        <w:numPr>
          <w:ilvl w:val="0"/>
          <w:numId w:val="66"/>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vezető biztonságérzete egy bizonytalan helyzetben: vannak vezetők, akik felszabadítják a döntéshozatali folyamat feletti kontrollt, ezáltal csökkentik a végeredmény kiszámíthatóságát. </w:t>
      </w:r>
      <w:r w:rsidRPr="000F45B4">
        <w:rPr>
          <w:rFonts w:ascii="Times New Roman" w:eastAsia="Calibri" w:hAnsi="Times New Roman" w:cs="Times New Roman"/>
          <w:color w:val="000000"/>
          <w:shd w:val="clear" w:color="auto" w:fill="FFFFFF"/>
        </w:rPr>
        <w:lastRenderedPageBreak/>
        <w:t>Egyes vezetőknek pedig másoknál nagyobb szükségük van a környezetük kiszámíthatóságára és stabilitására, így kevésbé szeretik bevonni a nem-vezetőket a döntéshozatalba.</w:t>
      </w:r>
    </w:p>
    <w:p w14:paraId="25F54E07"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beosztottakban rejlő erők körébe a személyiségváltozóik és a vezetéssel kapcsolatos elvárásaik tartoznak. Az elmélet szerint a vezetőnek érdemes megvizsgálnia az alábbi, nem-vezetőkkel kapcsolatos tényezőket annak érdekében, hogy helyesen határozza meg a döntési szabadságuk mértékét:</w:t>
      </w:r>
    </w:p>
    <w:p w14:paraId="4EBF39E9" w14:textId="77777777" w:rsidR="007D587C" w:rsidRPr="000F45B4" w:rsidRDefault="007D587C" w:rsidP="00445121">
      <w:pPr>
        <w:numPr>
          <w:ilvl w:val="0"/>
          <w:numId w:val="67"/>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függetlenség iránti igényük erőssége,</w:t>
      </w:r>
    </w:p>
    <w:p w14:paraId="191D718B" w14:textId="77777777" w:rsidR="007D587C" w:rsidRPr="000F45B4" w:rsidRDefault="007D587C" w:rsidP="00445121">
      <w:pPr>
        <w:numPr>
          <w:ilvl w:val="0"/>
          <w:numId w:val="67"/>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képességük a döntéshozatalért való felelősségvállalásra,</w:t>
      </w:r>
    </w:p>
    <w:p w14:paraId="1999A96E" w14:textId="77777777" w:rsidR="007D587C" w:rsidRPr="000F45B4" w:rsidRDefault="007D587C" w:rsidP="00445121">
      <w:pPr>
        <w:numPr>
          <w:ilvl w:val="0"/>
          <w:numId w:val="67"/>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kétértelműséggel szembeni toleranciájuk mértéke,</w:t>
      </w:r>
    </w:p>
    <w:p w14:paraId="3705A2D3" w14:textId="77777777" w:rsidR="007D587C" w:rsidRPr="000F45B4" w:rsidRDefault="007D587C" w:rsidP="00445121">
      <w:pPr>
        <w:numPr>
          <w:ilvl w:val="0"/>
          <w:numId w:val="67"/>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probléma iránti érdeklődésük és a probléma jelentőségével kapcsolatos érzéseik, </w:t>
      </w:r>
    </w:p>
    <w:p w14:paraId="6E444587" w14:textId="77777777" w:rsidR="007D587C" w:rsidRPr="000F45B4" w:rsidRDefault="007D587C" w:rsidP="00445121">
      <w:pPr>
        <w:numPr>
          <w:ilvl w:val="0"/>
          <w:numId w:val="67"/>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szervezet céljainak megértése és az azokkal való azonosulásuk,</w:t>
      </w:r>
    </w:p>
    <w:p w14:paraId="4C2C33D1" w14:textId="77777777" w:rsidR="007D587C" w:rsidRPr="000F45B4" w:rsidRDefault="007D587C" w:rsidP="00445121">
      <w:pPr>
        <w:numPr>
          <w:ilvl w:val="0"/>
          <w:numId w:val="67"/>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probléma kezeléséhez szükséges tudásuk és tapasztalataik,</w:t>
      </w:r>
    </w:p>
    <w:p w14:paraId="56CCC8CB" w14:textId="77777777" w:rsidR="007D587C" w:rsidRPr="000F45B4" w:rsidRDefault="007D587C" w:rsidP="00445121">
      <w:pPr>
        <w:numPr>
          <w:ilvl w:val="0"/>
          <w:numId w:val="67"/>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az előzetes tapasztalatik a döntéshozatalban való részvétellel kapcsolatban.</w:t>
      </w:r>
    </w:p>
    <w:p w14:paraId="093FF4DB"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 vezetőben és a beosztottjaiban rejlő erőkön kívül az általános helyzet bizonyos jellemzői is befolyásolják a vezető viselkedését, ezek a következők:</w:t>
      </w:r>
    </w:p>
    <w:p w14:paraId="75A1389E" w14:textId="77777777" w:rsidR="007D587C" w:rsidRPr="000F45B4" w:rsidRDefault="007D587C" w:rsidP="00445121">
      <w:pPr>
        <w:numPr>
          <w:ilvl w:val="0"/>
          <w:numId w:val="68"/>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szervezet típusa: a szervezeti értékek és hagyományok, valamint olyan változók, mint a munkaegységek mérete, földrajzi eloszlása és a vállalati célok eléréséhez szükséges szervezetközi és szervezeten belüli biztonság mértéke. </w:t>
      </w:r>
    </w:p>
    <w:p w14:paraId="4505F50B" w14:textId="77777777" w:rsidR="007D587C" w:rsidRPr="000F45B4" w:rsidRDefault="007D587C" w:rsidP="00445121">
      <w:pPr>
        <w:numPr>
          <w:ilvl w:val="0"/>
          <w:numId w:val="68"/>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csoportmunka hatékonysága: a csoport tapasztalatai a közös munkában, a csoporttagok hátterének és érdeklődési körének hasonlóságai vagy különbözőségei, a csoportösszetartás mértéke. </w:t>
      </w:r>
    </w:p>
    <w:p w14:paraId="10967334" w14:textId="77777777" w:rsidR="007D587C" w:rsidRPr="000F45B4" w:rsidRDefault="007D587C" w:rsidP="00445121">
      <w:pPr>
        <w:numPr>
          <w:ilvl w:val="0"/>
          <w:numId w:val="68"/>
        </w:numPr>
        <w:spacing w:after="0" w:line="240" w:lineRule="auto"/>
        <w:contextualSpacing/>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probléma jellege: a nem-vezetők rendelkeznek-e a döntéshozáshoz szükséges ismeretekkel, a probléma összetettsége egyszemélyi vagy csoportos döntéshozatalt kíván-e meg. </w:t>
      </w:r>
    </w:p>
    <w:p w14:paraId="76CE3AF3"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Az elmélet megalkotói szerint a sikeres vezetők ismerik és figyelembe veszik a saját magukban, a beosztottjaikban és a helyzetben rejlő erőket annak érdekében, hogy az adott időpontban a leginkább releváns viselkedést tanúsítsák.</w:t>
      </w:r>
    </w:p>
    <w:p w14:paraId="60B86ACB"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shd w:val="clear" w:color="auto" w:fill="FFFFFF"/>
        </w:rPr>
      </w:pPr>
      <w:bookmarkStart w:id="186" w:name="_Toc111292698"/>
      <w:bookmarkStart w:id="187" w:name="_Toc118750237"/>
      <w:bookmarkStart w:id="188" w:name="_Toc145962975"/>
      <w:r w:rsidRPr="000F45B4">
        <w:rPr>
          <w:rFonts w:ascii="Times New Roman" w:hAnsi="Times New Roman" w:cs="Times New Roman"/>
          <w:shd w:val="clear" w:color="auto" w:fill="FFFFFF"/>
        </w:rPr>
        <w:t>A vezetés szituatív megközelítés</w:t>
      </w:r>
      <w:bookmarkEnd w:id="186"/>
      <w:bookmarkEnd w:id="187"/>
      <w:r w:rsidRPr="000F45B4">
        <w:rPr>
          <w:rFonts w:ascii="Times New Roman" w:hAnsi="Times New Roman" w:cs="Times New Roman"/>
          <w:shd w:val="clear" w:color="auto" w:fill="FFFFFF"/>
        </w:rPr>
        <w:t>e</w:t>
      </w:r>
      <w:bookmarkEnd w:id="188"/>
    </w:p>
    <w:p w14:paraId="1DE5EAF4"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proofErr w:type="spellStart"/>
      <w:r w:rsidRPr="000F45B4">
        <w:rPr>
          <w:rFonts w:ascii="Times New Roman" w:eastAsia="Calibri" w:hAnsi="Times New Roman" w:cs="Times New Roman"/>
          <w:color w:val="000000"/>
          <w:shd w:val="clear" w:color="auto" w:fill="FFFFFF"/>
        </w:rPr>
        <w:t>kontingencia</w:t>
      </w:r>
      <w:proofErr w:type="spellEnd"/>
      <w:r w:rsidRPr="000F45B4">
        <w:rPr>
          <w:rFonts w:ascii="Times New Roman" w:eastAsia="Calibri" w:hAnsi="Times New Roman" w:cs="Times New Roman"/>
          <w:color w:val="000000"/>
          <w:shd w:val="clear" w:color="auto" w:fill="FFFFFF"/>
        </w:rPr>
        <w:t xml:space="preserve"> (szituatív) megközelítés az 1970-es években indult. Az irányzat gondolkodói szerint a vezetői tevékenység eredményessége attól függ, hogy miként reagál a különböző szituációkra, eltérő helyzetekben ugyanis más-más vezetői magatartásra van szükség. A kutatók nem csupán tipologizálták a vezetőket különböző szempontok szerint, hanem igyekeztek segíteni is a munkájukat azáltal, hogy az egyes vezetői helyzetekhez követendő viselkedési mintákat javasoltak. A legismertebb </w:t>
      </w:r>
      <w:proofErr w:type="spellStart"/>
      <w:r w:rsidRPr="000F45B4">
        <w:rPr>
          <w:rFonts w:ascii="Times New Roman" w:eastAsia="Calibri" w:hAnsi="Times New Roman" w:cs="Times New Roman"/>
          <w:color w:val="000000"/>
          <w:shd w:val="clear" w:color="auto" w:fill="FFFFFF"/>
        </w:rPr>
        <w:t>kontingencia</w:t>
      </w:r>
      <w:proofErr w:type="spellEnd"/>
      <w:r w:rsidRPr="000F45B4">
        <w:rPr>
          <w:rFonts w:ascii="Times New Roman" w:eastAsia="Calibri" w:hAnsi="Times New Roman" w:cs="Times New Roman"/>
          <w:color w:val="000000"/>
          <w:shd w:val="clear" w:color="auto" w:fill="FFFFFF"/>
        </w:rPr>
        <w:t xml:space="preserve"> elméletek a </w:t>
      </w:r>
      <w:proofErr w:type="spellStart"/>
      <w:r w:rsidRPr="000F45B4">
        <w:rPr>
          <w:rFonts w:ascii="Times New Roman" w:eastAsia="Calibri" w:hAnsi="Times New Roman" w:cs="Times New Roman"/>
          <w:color w:val="000000"/>
          <w:shd w:val="clear" w:color="auto" w:fill="FFFFFF"/>
        </w:rPr>
        <w:t>Fiedler</w:t>
      </w:r>
      <w:proofErr w:type="spellEnd"/>
      <w:r w:rsidRPr="000F45B4">
        <w:rPr>
          <w:rFonts w:ascii="Times New Roman" w:eastAsia="Calibri" w:hAnsi="Times New Roman" w:cs="Times New Roman"/>
          <w:color w:val="000000"/>
          <w:shd w:val="clear" w:color="auto" w:fill="FFFFFF"/>
        </w:rPr>
        <w:t xml:space="preserve">-féle, a </w:t>
      </w:r>
      <w:proofErr w:type="spellStart"/>
      <w:r w:rsidRPr="000F45B4">
        <w:rPr>
          <w:rFonts w:ascii="Times New Roman" w:eastAsia="Calibri" w:hAnsi="Times New Roman" w:cs="Times New Roman"/>
          <w:color w:val="000000"/>
          <w:shd w:val="clear" w:color="auto" w:fill="FFFFFF"/>
        </w:rPr>
        <w:t>Hersey</w:t>
      </w:r>
      <w:proofErr w:type="spellEnd"/>
      <w:r w:rsidRPr="000F45B4">
        <w:rPr>
          <w:rFonts w:ascii="Times New Roman" w:eastAsia="Calibri" w:hAnsi="Times New Roman" w:cs="Times New Roman"/>
          <w:color w:val="000000"/>
          <w:shd w:val="clear" w:color="auto" w:fill="FFFFFF"/>
        </w:rPr>
        <w:t>-</w:t>
      </w:r>
      <w:proofErr w:type="spellStart"/>
      <w:r w:rsidRPr="000F45B4">
        <w:rPr>
          <w:rFonts w:ascii="Times New Roman" w:eastAsia="Calibri" w:hAnsi="Times New Roman" w:cs="Times New Roman"/>
          <w:color w:val="000000"/>
          <w:shd w:val="clear" w:color="auto" w:fill="FFFFFF"/>
        </w:rPr>
        <w:t>Blanchard</w:t>
      </w:r>
      <w:proofErr w:type="spellEnd"/>
      <w:r w:rsidRPr="000F45B4">
        <w:rPr>
          <w:rFonts w:ascii="Times New Roman" w:eastAsia="Calibri" w:hAnsi="Times New Roman" w:cs="Times New Roman"/>
          <w:color w:val="000000"/>
          <w:shd w:val="clear" w:color="auto" w:fill="FFFFFF"/>
        </w:rPr>
        <w:t xml:space="preserve">-féle és a </w:t>
      </w:r>
      <w:proofErr w:type="spellStart"/>
      <w:r w:rsidRPr="000F45B4">
        <w:rPr>
          <w:rFonts w:ascii="Times New Roman" w:eastAsia="Calibri" w:hAnsi="Times New Roman" w:cs="Times New Roman"/>
          <w:color w:val="000000"/>
          <w:shd w:val="clear" w:color="auto" w:fill="FFFFFF"/>
        </w:rPr>
        <w:t>Vroom</w:t>
      </w:r>
      <w:proofErr w:type="spellEnd"/>
      <w:r w:rsidRPr="000F45B4">
        <w:rPr>
          <w:rFonts w:ascii="Times New Roman" w:eastAsia="Calibri" w:hAnsi="Times New Roman" w:cs="Times New Roman"/>
          <w:color w:val="000000"/>
          <w:shd w:val="clear" w:color="auto" w:fill="FFFFFF"/>
        </w:rPr>
        <w:t xml:space="preserve"> </w:t>
      </w:r>
      <w:proofErr w:type="spellStart"/>
      <w:r w:rsidRPr="000F45B4">
        <w:rPr>
          <w:rFonts w:ascii="Times New Roman" w:eastAsia="Calibri" w:hAnsi="Times New Roman" w:cs="Times New Roman"/>
          <w:color w:val="000000"/>
          <w:shd w:val="clear" w:color="auto" w:fill="FFFFFF"/>
        </w:rPr>
        <w:t>Yetton</w:t>
      </w:r>
      <w:proofErr w:type="spellEnd"/>
      <w:r w:rsidRPr="000F45B4">
        <w:rPr>
          <w:rFonts w:ascii="Times New Roman" w:eastAsia="Calibri" w:hAnsi="Times New Roman" w:cs="Times New Roman"/>
          <w:color w:val="000000"/>
          <w:shd w:val="clear" w:color="auto" w:fill="FFFFFF"/>
        </w:rPr>
        <w:t xml:space="preserve">-féle modell. </w:t>
      </w:r>
    </w:p>
    <w:p w14:paraId="18735A20"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1C553C0B"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b/>
        </w:rPr>
        <w:t>Fiedler</w:t>
      </w:r>
      <w:proofErr w:type="spellEnd"/>
      <w:r w:rsidRPr="000F45B4">
        <w:rPr>
          <w:rFonts w:ascii="Times New Roman" w:eastAsia="Calibri" w:hAnsi="Times New Roman" w:cs="Times New Roman"/>
          <w:b/>
        </w:rPr>
        <w:t xml:space="preserve"> (</w:t>
      </w:r>
      <w:proofErr w:type="spellStart"/>
      <w:r w:rsidRPr="000F45B4">
        <w:rPr>
          <w:rFonts w:ascii="Times New Roman" w:eastAsia="Calibri" w:hAnsi="Times New Roman" w:cs="Times New Roman"/>
        </w:rPr>
        <w:t>Fiedler</w:t>
      </w:r>
      <w:proofErr w:type="spellEnd"/>
      <w:r w:rsidRPr="000F45B4">
        <w:rPr>
          <w:rFonts w:ascii="Times New Roman" w:eastAsia="Calibri" w:hAnsi="Times New Roman" w:cs="Times New Roman"/>
        </w:rPr>
        <w:t xml:space="preserve"> </w:t>
      </w:r>
      <w:r w:rsidRPr="000F45B4">
        <w:rPr>
          <w:rFonts w:ascii="Times New Roman" w:eastAsiaTheme="minorHAnsi" w:hAnsi="Times New Roman" w:cs="Times New Roman"/>
        </w:rPr>
        <w:t xml:space="preserve">&amp; </w:t>
      </w:r>
      <w:proofErr w:type="spellStart"/>
      <w:r w:rsidRPr="000F45B4">
        <w:rPr>
          <w:rFonts w:ascii="Times New Roman" w:eastAsia="Calibri" w:hAnsi="Times New Roman" w:cs="Times New Roman"/>
        </w:rPr>
        <w:t>Chemers</w:t>
      </w:r>
      <w:proofErr w:type="spellEnd"/>
      <w:r w:rsidRPr="000F45B4">
        <w:rPr>
          <w:rFonts w:ascii="Times New Roman" w:eastAsia="Calibri" w:hAnsi="Times New Roman" w:cs="Times New Roman"/>
        </w:rPr>
        <w:t xml:space="preserve">, 1984) elméletében feladatorientált és kapcsolatorientált vezetési stílust különböztet meg (megfeleltethetők a termelésközpontúságnak és az emberközpontúságnak), és azt javasolja a vezetőknek, hogy a szituáció függvényében maguk ítéljék meg – vezetői stílusuk alapján – hogy képesek-e az adott helyzetben eredményesen irányítani a csoportot. </w:t>
      </w:r>
    </w:p>
    <w:p w14:paraId="0CED313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Első lépésben egy kérdőív kitöltését javasolja, amelynek segítségével a vezető megállapíthatja, hogy a feladatorientáltság vagy a kapcsolatorientáltság jellemzi-e.</w:t>
      </w:r>
    </w:p>
    <w:p w14:paraId="0286B054"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kérdőív kitöltését követően a (döntési) szituáció elemzése következik, amelynek kapcsán az alábbi szempontokat kell mérlegelni:</w:t>
      </w:r>
    </w:p>
    <w:p w14:paraId="04273EB7"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1. Vezető–beosztott kapcsolat: az alkalmazottak mennyire bíznak meg a vezetőjükben, mennyire tudja őket befolyásolni (ez lehet jó vagy rossz);</w:t>
      </w:r>
    </w:p>
    <w:p w14:paraId="709DAEC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2. A feladat strukturáltsága: az a probléma, amit meg kell oldani/munkafeladat, amit el kell végezni (lehet átlátható/strukturált vagy homályos/strukturálatlan);</w:t>
      </w:r>
    </w:p>
    <w:p w14:paraId="6C47C169"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lastRenderedPageBreak/>
        <w:t>3. A vezető hatalma: mekkora hatalma van a vezetőnek a csoport felett, mennyire állnak rendelkezésére eszközök a jutalmazásra és büntetésre (lehet erős vagy gyenge a hatalma).</w:t>
      </w:r>
    </w:p>
    <w:p w14:paraId="17D3D4B4"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Miután a vezető megválaszolta a három kérdést, az 1. táblázat segítségével megállapíthatja, hogy az adott helyzetben a feladatorientált vagy a kapcsolatorientált vezetői stílus-e az eredményesebb.</w:t>
      </w:r>
    </w:p>
    <w:p w14:paraId="3493C519" w14:textId="77777777" w:rsidR="007D587C" w:rsidRPr="000F45B4" w:rsidRDefault="007D587C" w:rsidP="007D587C">
      <w:pPr>
        <w:jc w:val="both"/>
        <w:rPr>
          <w:rFonts w:ascii="Times New Roman" w:eastAsia="Calibri" w:hAnsi="Times New Roman" w:cs="Times New Roman"/>
        </w:rPr>
      </w:pPr>
    </w:p>
    <w:p w14:paraId="23FD2368"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72EDBD94" wp14:editId="258EC297">
            <wp:extent cx="4687614" cy="1531550"/>
            <wp:effectExtent l="0" t="0" r="0" b="5715"/>
            <wp:docPr id="1810008257" name="Kép 1810008257" descr="A képen szöveg, Betűtípus, szám,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57" name="Kép 1810008257" descr="A képen szöveg, Betűtípus, szám, képernyőkép látható&#10;&#10;Automatikusan generált leírás"/>
                    <pic:cNvPicPr/>
                  </pic:nvPicPr>
                  <pic:blipFill>
                    <a:blip r:embed="rId43"/>
                    <a:stretch>
                      <a:fillRect/>
                    </a:stretch>
                  </pic:blipFill>
                  <pic:spPr>
                    <a:xfrm>
                      <a:off x="0" y="0"/>
                      <a:ext cx="4688702" cy="1531905"/>
                    </a:xfrm>
                    <a:prstGeom prst="rect">
                      <a:avLst/>
                    </a:prstGeom>
                  </pic:spPr>
                </pic:pic>
              </a:graphicData>
            </a:graphic>
          </wp:inline>
        </w:drawing>
      </w:r>
    </w:p>
    <w:p w14:paraId="4143FFA8" w14:textId="77777777" w:rsidR="007D587C" w:rsidRPr="000F45B4" w:rsidRDefault="007D587C" w:rsidP="007D587C">
      <w:pPr>
        <w:ind w:left="360"/>
        <w:rPr>
          <w:rFonts w:ascii="Times New Roman" w:eastAsia="Calibri" w:hAnsi="Times New Roman" w:cs="Times New Roman"/>
        </w:rPr>
      </w:pPr>
      <w:r w:rsidRPr="000F45B4">
        <w:rPr>
          <w:rFonts w:ascii="Times New Roman" w:eastAsia="Calibri" w:hAnsi="Times New Roman" w:cs="Times New Roman"/>
        </w:rPr>
        <w:t xml:space="preserve">1. táblázat: </w:t>
      </w:r>
      <w:proofErr w:type="spellStart"/>
      <w:r w:rsidRPr="000F45B4">
        <w:rPr>
          <w:rFonts w:ascii="Times New Roman" w:eastAsia="Calibri" w:hAnsi="Times New Roman" w:cs="Times New Roman"/>
        </w:rPr>
        <w:t>Fiedler</w:t>
      </w:r>
      <w:proofErr w:type="spellEnd"/>
      <w:r w:rsidRPr="000F45B4">
        <w:rPr>
          <w:rFonts w:ascii="Times New Roman" w:eastAsia="Calibri" w:hAnsi="Times New Roman" w:cs="Times New Roman"/>
        </w:rPr>
        <w:t>-féle döntési szituációk és a kapcsolódó vezetői szerepek</w:t>
      </w:r>
    </w:p>
    <w:p w14:paraId="68B3B6AE" w14:textId="77777777" w:rsidR="007D587C" w:rsidRPr="000F45B4" w:rsidRDefault="007D587C" w:rsidP="007D587C">
      <w:pPr>
        <w:jc w:val="center"/>
        <w:rPr>
          <w:rFonts w:ascii="Times New Roman" w:eastAsia="Calibri" w:hAnsi="Times New Roman" w:cs="Times New Roman"/>
          <w:i/>
          <w:iCs/>
        </w:rPr>
      </w:pPr>
      <w:r w:rsidRPr="000F45B4">
        <w:rPr>
          <w:rFonts w:ascii="Times New Roman" w:eastAsia="Calibri" w:hAnsi="Times New Roman" w:cs="Times New Roman"/>
          <w:i/>
          <w:iCs/>
        </w:rPr>
        <w:t xml:space="preserve">Forrás: saját szerkesztés </w:t>
      </w:r>
      <w:proofErr w:type="spellStart"/>
      <w:r w:rsidRPr="000F45B4">
        <w:rPr>
          <w:rFonts w:ascii="Times New Roman" w:eastAsia="Calibri" w:hAnsi="Times New Roman" w:cs="Times New Roman"/>
          <w:i/>
          <w:iCs/>
        </w:rPr>
        <w:t>Fiedler</w:t>
      </w:r>
      <w:proofErr w:type="spellEnd"/>
      <w:r w:rsidRPr="000F45B4">
        <w:rPr>
          <w:rFonts w:ascii="Times New Roman" w:eastAsia="Calibri" w:hAnsi="Times New Roman" w:cs="Times New Roman"/>
          <w:i/>
          <w:iCs/>
        </w:rPr>
        <w:t xml:space="preserve"> </w:t>
      </w:r>
      <w:r w:rsidRPr="000F45B4">
        <w:rPr>
          <w:rFonts w:ascii="Times New Roman" w:eastAsiaTheme="minorHAnsi" w:hAnsi="Times New Roman" w:cs="Times New Roman"/>
        </w:rPr>
        <w:t xml:space="preserve">&amp; </w:t>
      </w:r>
      <w:proofErr w:type="spellStart"/>
      <w:r w:rsidRPr="000F45B4">
        <w:rPr>
          <w:rFonts w:ascii="Times New Roman" w:eastAsia="Calibri" w:hAnsi="Times New Roman" w:cs="Times New Roman"/>
          <w:i/>
          <w:iCs/>
        </w:rPr>
        <w:t>Chemers</w:t>
      </w:r>
      <w:proofErr w:type="spellEnd"/>
      <w:r w:rsidRPr="000F45B4">
        <w:rPr>
          <w:rFonts w:ascii="Times New Roman" w:eastAsia="Calibri" w:hAnsi="Times New Roman" w:cs="Times New Roman"/>
          <w:i/>
          <w:iCs/>
        </w:rPr>
        <w:t xml:space="preserve"> (1984) alapján</w:t>
      </w:r>
    </w:p>
    <w:p w14:paraId="51742B91" w14:textId="77777777" w:rsidR="007D587C" w:rsidRPr="000F45B4" w:rsidRDefault="007D587C" w:rsidP="007D587C">
      <w:pPr>
        <w:jc w:val="center"/>
        <w:rPr>
          <w:rFonts w:ascii="Times New Roman" w:eastAsia="Calibri" w:hAnsi="Times New Roman" w:cs="Times New Roman"/>
          <w:i/>
          <w:iCs/>
        </w:rPr>
      </w:pPr>
    </w:p>
    <w:p w14:paraId="70B84B44"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vizsgálat eredményei alapján a kutató azt a következtetést vonta le, hogy a vezető számára kedvező, illetve kedvezőtlen helyzetekben a feladatorientált stílus az eredményesebb, a közepes, bizonytalan helyzetekben pedig a kapcsolatorientált stílus alkalmazása indokolt.</w:t>
      </w:r>
    </w:p>
    <w:p w14:paraId="692C57A0"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kutató szerint a kedvező vezetési helyzetben (1., 2. és 3. szituáció) lehet a feladatok elvégzésére koncentrálni, ugyanis jó a munkakörnyezet, elégedettek a munkatársak és nyitottak az együttműködésre. Kedvezőtlen (7. és 8. szituáció) helyzetekben a beosztottak előíró vezetést várnak el, ilyenkor ugyanis a direkt, irányító stílus mellett érzik azt, hogy nagyobb valószínűséggel tudják a feladatokat megoldani. A vegyes helyzetekben (4., 5. és 6. szituáció) pedig kapcsolatorientált vezetési stílusra van szükség a dolgozók elégedetlenségének csökkentése érdekében.</w:t>
      </w:r>
    </w:p>
    <w:p w14:paraId="652A92ED"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rPr>
        <w:t>Fiedler</w:t>
      </w:r>
      <w:proofErr w:type="spellEnd"/>
      <w:r w:rsidRPr="000F45B4">
        <w:rPr>
          <w:rFonts w:ascii="Times New Roman" w:eastAsia="Calibri" w:hAnsi="Times New Roman" w:cs="Times New Roman"/>
        </w:rPr>
        <w:t xml:space="preserve"> elméletét sok kritika érte, az egyik legjelentősebb közülük, hogy megítélése szerint a vezetők nem tudnak változtatni a viselkedésükön: ha kapcsolatorientáltság jellemzi őket, nem képesek maradéktalanul az elvégzendő feladatra koncentrálni, és ugyancsak nehézkes a munkatársakra fókuszálniuk, ha alapvetően a teljesítmény érdekli őket. A kutató úgy tartja, hogy amennyiben nem megfelelő stílusú vezető irányítja a csoportot az adott szituációban, a vezetőnek lehetősége van arra, hogy változtasson a helyzeten, </w:t>
      </w:r>
      <w:proofErr w:type="gramStart"/>
      <w:r w:rsidRPr="000F45B4">
        <w:rPr>
          <w:rFonts w:ascii="Times New Roman" w:eastAsia="Calibri" w:hAnsi="Times New Roman" w:cs="Times New Roman"/>
        </w:rPr>
        <w:t>pl.</w:t>
      </w:r>
      <w:proofErr w:type="gramEnd"/>
      <w:r w:rsidRPr="000F45B4">
        <w:rPr>
          <w:rFonts w:ascii="Times New Roman" w:eastAsia="Calibri" w:hAnsi="Times New Roman" w:cs="Times New Roman"/>
        </w:rPr>
        <w:t xml:space="preserve"> ha 4-es szituációban van feladatorientált vezetőként, akkor igyekezzen növelni a hatalmán annak érdekében, hogy megváltoztassa a helyzetet 3-as szituációra.</w:t>
      </w:r>
    </w:p>
    <w:p w14:paraId="2D538D54" w14:textId="77777777" w:rsidR="007D587C" w:rsidRPr="000F45B4" w:rsidRDefault="007D587C" w:rsidP="007D587C">
      <w:pPr>
        <w:jc w:val="both"/>
        <w:rPr>
          <w:rFonts w:ascii="Times New Roman" w:eastAsia="Calibri" w:hAnsi="Times New Roman" w:cs="Times New Roman"/>
        </w:rPr>
      </w:pPr>
    </w:p>
    <w:p w14:paraId="79619353"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proofErr w:type="spellStart"/>
      <w:r w:rsidRPr="000F45B4">
        <w:rPr>
          <w:rFonts w:ascii="Times New Roman" w:eastAsia="Calibri" w:hAnsi="Times New Roman" w:cs="Times New Roman"/>
          <w:b/>
          <w:bCs/>
          <w:color w:val="000000"/>
          <w:shd w:val="clear" w:color="auto" w:fill="FFFFFF"/>
        </w:rPr>
        <w:t>Hersey-Blanchard</w:t>
      </w:r>
      <w:proofErr w:type="spellEnd"/>
      <w:r w:rsidRPr="000F45B4">
        <w:rPr>
          <w:rFonts w:ascii="Times New Roman" w:eastAsia="Calibri" w:hAnsi="Times New Roman" w:cs="Times New Roman"/>
          <w:b/>
          <w:bCs/>
          <w:color w:val="000000"/>
          <w:shd w:val="clear" w:color="auto" w:fill="FFFFFF"/>
        </w:rPr>
        <w:t xml:space="preserve"> modell (</w:t>
      </w:r>
      <w:proofErr w:type="spellStart"/>
      <w:r w:rsidRPr="000F45B4">
        <w:rPr>
          <w:rFonts w:ascii="Times New Roman" w:hAnsi="Times New Roman" w:cs="Times New Roman"/>
        </w:rPr>
        <w:t>Hersey</w:t>
      </w:r>
      <w:proofErr w:type="spellEnd"/>
      <w:r w:rsidRPr="000F45B4">
        <w:rPr>
          <w:rFonts w:ascii="Times New Roman" w:hAnsi="Times New Roman" w:cs="Times New Roman"/>
        </w:rPr>
        <w:t xml:space="preserve"> </w:t>
      </w:r>
      <w:r w:rsidRPr="000F45B4">
        <w:rPr>
          <w:rFonts w:ascii="Times New Roman" w:eastAsiaTheme="minorHAnsi" w:hAnsi="Times New Roman" w:cs="Times New Roman"/>
        </w:rPr>
        <w:t>&amp;</w:t>
      </w:r>
      <w:r w:rsidRPr="000F45B4">
        <w:rPr>
          <w:rFonts w:ascii="Times New Roman" w:hAnsi="Times New Roman" w:cs="Times New Roman"/>
        </w:rPr>
        <w:t xml:space="preserve"> </w:t>
      </w:r>
      <w:proofErr w:type="spellStart"/>
      <w:r w:rsidRPr="000F45B4">
        <w:rPr>
          <w:rFonts w:ascii="Times New Roman" w:hAnsi="Times New Roman" w:cs="Times New Roman"/>
        </w:rPr>
        <w:t>Blanchard</w:t>
      </w:r>
      <w:proofErr w:type="spellEnd"/>
      <w:r w:rsidRPr="000F45B4">
        <w:rPr>
          <w:rFonts w:ascii="Times New Roman" w:hAnsi="Times New Roman" w:cs="Times New Roman"/>
        </w:rPr>
        <w:t xml:space="preserve">, 1993) </w:t>
      </w:r>
      <w:r w:rsidRPr="000F45B4">
        <w:rPr>
          <w:rFonts w:ascii="Times New Roman" w:eastAsia="Calibri" w:hAnsi="Times New Roman" w:cs="Times New Roman"/>
          <w:color w:val="000000"/>
          <w:shd w:val="clear" w:color="auto" w:fill="FFFFFF"/>
        </w:rPr>
        <w:t>alapját ugyancsak a vezető kapcsolat- vagy feladatorientáltsága adja, s ez alapján különböztet meg négy vezetési stílust: a delegáló, a támogató, a magyarázó és az utasító vezetési stílusokat. Az elmélet szerint a vezetőnek az alkalmazottak szakmai és pszichikai érettségi szintjéhez kell igazítaniuk a vezetési stílusukat (6. ábra).</w:t>
      </w:r>
    </w:p>
    <w:p w14:paraId="2F5DBFC1"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3A921878" w14:textId="77777777" w:rsidR="007D587C" w:rsidRPr="000F45B4" w:rsidRDefault="007D587C" w:rsidP="007D587C">
      <w:pPr>
        <w:jc w:val="center"/>
        <w:rPr>
          <w:rFonts w:ascii="Times New Roman" w:eastAsia="Calibri" w:hAnsi="Times New Roman" w:cs="Times New Roman"/>
          <w:color w:val="000000"/>
          <w:shd w:val="clear" w:color="auto" w:fill="FFFFFF"/>
        </w:rPr>
      </w:pPr>
      <w:r w:rsidRPr="000F45B4">
        <w:rPr>
          <w:rFonts w:ascii="Times New Roman" w:eastAsia="Calibri" w:hAnsi="Times New Roman" w:cs="Times New Roman"/>
          <w:noProof/>
          <w:color w:val="000000"/>
          <w:shd w:val="clear" w:color="auto" w:fill="FFFFFF"/>
        </w:rPr>
        <w:lastRenderedPageBreak/>
        <w:drawing>
          <wp:inline distT="0" distB="0" distL="0" distR="0" wp14:anchorId="70CBDD04" wp14:editId="57EACB34">
            <wp:extent cx="4508938" cy="3850532"/>
            <wp:effectExtent l="0" t="0" r="0" b="0"/>
            <wp:docPr id="1810008258" name="Kép 1810008258"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58" name="Kép 1810008258" descr="A képen szöveg, diagram, sor, Diagram látható&#10;&#10;Automatikusan generált leírás"/>
                    <pic:cNvPicPr/>
                  </pic:nvPicPr>
                  <pic:blipFill>
                    <a:blip r:embed="rId44"/>
                    <a:stretch>
                      <a:fillRect/>
                    </a:stretch>
                  </pic:blipFill>
                  <pic:spPr>
                    <a:xfrm>
                      <a:off x="0" y="0"/>
                      <a:ext cx="4509523" cy="3851031"/>
                    </a:xfrm>
                    <a:prstGeom prst="rect">
                      <a:avLst/>
                    </a:prstGeom>
                  </pic:spPr>
                </pic:pic>
              </a:graphicData>
            </a:graphic>
          </wp:inline>
        </w:drawing>
      </w:r>
    </w:p>
    <w:p w14:paraId="11C186C4" w14:textId="77777777" w:rsidR="007D587C" w:rsidRPr="000F45B4" w:rsidRDefault="007D587C" w:rsidP="007D587C">
      <w:pPr>
        <w:jc w:val="center"/>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6. ábra: A szituációs vezetési modell</w:t>
      </w:r>
    </w:p>
    <w:p w14:paraId="485BD882" w14:textId="77777777" w:rsidR="007D587C" w:rsidRPr="000F45B4" w:rsidRDefault="007D587C" w:rsidP="007D587C">
      <w:pPr>
        <w:jc w:val="center"/>
        <w:rPr>
          <w:rFonts w:ascii="Times New Roman" w:eastAsia="Calibri" w:hAnsi="Times New Roman" w:cs="Times New Roman"/>
          <w:i/>
          <w:iCs/>
          <w:color w:val="000000"/>
          <w:shd w:val="clear" w:color="auto" w:fill="FFFFFF"/>
        </w:rPr>
      </w:pPr>
      <w:r w:rsidRPr="000F45B4">
        <w:rPr>
          <w:rFonts w:ascii="Times New Roman" w:eastAsia="Calibri" w:hAnsi="Times New Roman" w:cs="Times New Roman"/>
          <w:i/>
          <w:iCs/>
          <w:color w:val="000000"/>
          <w:shd w:val="clear" w:color="auto" w:fill="FFFFFF"/>
        </w:rPr>
        <w:t xml:space="preserve">Forrás: saját szerkesztés </w:t>
      </w:r>
      <w:proofErr w:type="spellStart"/>
      <w:r w:rsidRPr="000F45B4">
        <w:rPr>
          <w:rFonts w:ascii="Times New Roman" w:eastAsia="Calibri" w:hAnsi="Times New Roman" w:cs="Times New Roman"/>
          <w:i/>
          <w:iCs/>
          <w:color w:val="000000"/>
          <w:shd w:val="clear" w:color="auto" w:fill="FFFFFF"/>
        </w:rPr>
        <w:t>Blanchard</w:t>
      </w:r>
      <w:proofErr w:type="spellEnd"/>
      <w:r w:rsidRPr="000F45B4">
        <w:rPr>
          <w:rFonts w:ascii="Times New Roman" w:eastAsia="Calibri" w:hAnsi="Times New Roman" w:cs="Times New Roman"/>
          <w:i/>
          <w:iCs/>
          <w:color w:val="000000"/>
          <w:shd w:val="clear" w:color="auto" w:fill="FFFFFF"/>
        </w:rPr>
        <w:t xml:space="preserve"> </w:t>
      </w:r>
      <w:proofErr w:type="spellStart"/>
      <w:r w:rsidRPr="000F45B4">
        <w:rPr>
          <w:rFonts w:ascii="Times New Roman" w:eastAsia="Calibri" w:hAnsi="Times New Roman" w:cs="Times New Roman"/>
          <w:i/>
          <w:iCs/>
          <w:color w:val="000000"/>
          <w:shd w:val="clear" w:color="auto" w:fill="FFFFFF"/>
        </w:rPr>
        <w:t>et</w:t>
      </w:r>
      <w:proofErr w:type="spellEnd"/>
      <w:r w:rsidRPr="000F45B4">
        <w:rPr>
          <w:rFonts w:ascii="Times New Roman" w:eastAsia="Calibri" w:hAnsi="Times New Roman" w:cs="Times New Roman"/>
          <w:i/>
          <w:iCs/>
          <w:color w:val="000000"/>
          <w:shd w:val="clear" w:color="auto" w:fill="FFFFFF"/>
        </w:rPr>
        <w:t xml:space="preserve"> </w:t>
      </w:r>
      <w:proofErr w:type="spellStart"/>
      <w:r w:rsidRPr="000F45B4">
        <w:rPr>
          <w:rFonts w:ascii="Times New Roman" w:eastAsia="Calibri" w:hAnsi="Times New Roman" w:cs="Times New Roman"/>
          <w:i/>
          <w:iCs/>
          <w:color w:val="000000"/>
          <w:shd w:val="clear" w:color="auto" w:fill="FFFFFF"/>
        </w:rPr>
        <w:t>al</w:t>
      </w:r>
      <w:proofErr w:type="spellEnd"/>
      <w:r w:rsidRPr="000F45B4">
        <w:rPr>
          <w:rFonts w:ascii="Times New Roman" w:eastAsia="Calibri" w:hAnsi="Times New Roman" w:cs="Times New Roman"/>
          <w:i/>
          <w:iCs/>
          <w:color w:val="000000"/>
          <w:shd w:val="clear" w:color="auto" w:fill="FFFFFF"/>
        </w:rPr>
        <w:t>. (2013) alapján</w:t>
      </w:r>
    </w:p>
    <w:p w14:paraId="068DBBC3"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0668D4BA"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delegáló vezetési stílust</w:t>
      </w:r>
      <w:r w:rsidRPr="000F45B4">
        <w:rPr>
          <w:rFonts w:ascii="Times New Roman" w:eastAsia="Calibri" w:hAnsi="Times New Roman" w:cs="Times New Roman"/>
          <w:color w:val="000000"/>
          <w:shd w:val="clear" w:color="auto" w:fill="FFFFFF"/>
        </w:rPr>
        <w:t xml:space="preserve"> (S4) alacsony szintű feladat- és kapcsolatorientáció jellemzi. A vezető biztosítja a munkavégzéshez szükséges információkat és eszközöket, de sem a tervezésben, sem az ellenőrzésben nem vállal nagy szerepet. A feladatok megoldását a beosztottakra bízza, csak indokolt esetben avatkozik közbe. A delegáló vezetési stílust a magas érettségi szintű (É4) munkavállalók esetén érdemes alkalmazni, akik képesek és motiváltak a feladatok elvégzésére.</w:t>
      </w:r>
    </w:p>
    <w:p w14:paraId="7EB58F7A"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támogató vezetési stílus</w:t>
      </w:r>
      <w:r w:rsidRPr="000F45B4">
        <w:rPr>
          <w:rFonts w:ascii="Times New Roman" w:eastAsia="Calibri" w:hAnsi="Times New Roman" w:cs="Times New Roman"/>
          <w:color w:val="000000"/>
          <w:shd w:val="clear" w:color="auto" w:fill="FFFFFF"/>
        </w:rPr>
        <w:t xml:space="preserve"> (S3) magas kapcsolat- és alacsony feladatorientáltságot jelent. </w:t>
      </w:r>
      <w:r w:rsidRPr="000F45B4">
        <w:rPr>
          <w:rFonts w:ascii="Times New Roman" w:eastAsia="Calibri" w:hAnsi="Times New Roman" w:cs="Times New Roman"/>
        </w:rPr>
        <w:t xml:space="preserve">Ebben a szituációban a munkavállalók képesek lennének ellátni a feladataikat, de valami miatt – általában a megnövekedett </w:t>
      </w:r>
      <w:proofErr w:type="spellStart"/>
      <w:r w:rsidRPr="000F45B4">
        <w:rPr>
          <w:rFonts w:ascii="Times New Roman" w:eastAsia="Calibri" w:hAnsi="Times New Roman" w:cs="Times New Roman"/>
        </w:rPr>
        <w:t>munkaterhek</w:t>
      </w:r>
      <w:proofErr w:type="spellEnd"/>
      <w:r w:rsidRPr="000F45B4">
        <w:rPr>
          <w:rFonts w:ascii="Times New Roman" w:eastAsia="Calibri" w:hAnsi="Times New Roman" w:cs="Times New Roman"/>
        </w:rPr>
        <w:t xml:space="preserve"> következtében vagy elbizonytalanodás miatt – nem akarják/tudják (É3). Magatartásuk vonakodóvá válhat, így a vezetőnek emberi támogatást kell nyújtania számukra, be kell őket vonnia a döntéshozatalba, visszacsatolást nyújtani számukra és folyamatosan tájékoztatni őket, ezáltal elfogadóbbak lesznek és újra képessé válnak a független munkavégzésre.</w:t>
      </w:r>
    </w:p>
    <w:p w14:paraId="164E2619"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w:t>
      </w:r>
      <w:r w:rsidRPr="000F45B4">
        <w:rPr>
          <w:rFonts w:ascii="Times New Roman" w:eastAsia="Calibri" w:hAnsi="Times New Roman" w:cs="Times New Roman"/>
          <w:i/>
          <w:iCs/>
          <w:color w:val="000000"/>
          <w:shd w:val="clear" w:color="auto" w:fill="FFFFFF"/>
        </w:rPr>
        <w:t>magyarázó vezetési stílus</w:t>
      </w:r>
      <w:r w:rsidRPr="000F45B4">
        <w:rPr>
          <w:rFonts w:ascii="Times New Roman" w:eastAsia="Calibri" w:hAnsi="Times New Roman" w:cs="Times New Roman"/>
          <w:color w:val="000000"/>
          <w:shd w:val="clear" w:color="auto" w:fill="FFFFFF"/>
        </w:rPr>
        <w:t xml:space="preserve"> (S2) akkor indokolt, ha a munkavállalók nem motiváltak és nem rendelkeznek megfelelő kompetenciákkal a feladat elvégzéséhez (É2). Ennek oka lehet, hogy a beosztottakat a tanulási folyamatban kezdeti kudarcok érik és még nem érték el a teljes érettségüket, bizonytalanok vagy külső körülmények (pl. szervezeti változások, információhiány) akadályozzák őket az önálló munkavégzésben. Ekkor a vezetőnek az elvégzendő feladatra való koncentráció mellett kellő odafordulással és támogatással kell lennie az emberi oldal felé is (egyszerre feladat és kapcsolatorientált viselkedést kell tanúsítania).</w:t>
      </w:r>
    </w:p>
    <w:p w14:paraId="4F183A6A"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i/>
        </w:rPr>
        <w:t xml:space="preserve">Az utasító </w:t>
      </w:r>
      <w:r w:rsidRPr="000F45B4">
        <w:rPr>
          <w:rFonts w:ascii="Times New Roman" w:eastAsia="Calibri" w:hAnsi="Times New Roman" w:cs="Times New Roman"/>
        </w:rPr>
        <w:t xml:space="preserve">vezetési stílus (S1) – vagyis a magas feladat- és alacsony kapcsolatorientáció – abban az esetben javasolt, ha a vezetőnek olyan alkalmazottakkal kell együtt dolgoznia, akik nem kompetensek, de motiváltak a feladat elvégzésére (É1) (amit okozhat például az, hogy a beosztottaknak teljesen új, </w:t>
      </w:r>
      <w:r w:rsidRPr="000F45B4">
        <w:rPr>
          <w:rFonts w:ascii="Times New Roman" w:eastAsia="Calibri" w:hAnsi="Times New Roman" w:cs="Times New Roman"/>
        </w:rPr>
        <w:lastRenderedPageBreak/>
        <w:t xml:space="preserve">eddigiektől eltérő projekttel kell foglalkozniuk vagy pályakezdők és nem rendelkeznek szakmai tapasztalattal). Ilyen helyzetben a vezetőnek a teljes munkafolyamat irányítására, a visszacsatolások megszervezésére és az elvégzett teljesítések folyamatos ellenőrzésére kell koncentrálnia. </w:t>
      </w:r>
    </w:p>
    <w:p w14:paraId="6F85CA39" w14:textId="77777777" w:rsidR="007D587C" w:rsidRPr="000F45B4" w:rsidRDefault="007D587C" w:rsidP="007D587C">
      <w:pPr>
        <w:jc w:val="both"/>
        <w:rPr>
          <w:rFonts w:ascii="Times New Roman" w:eastAsia="Calibri" w:hAnsi="Times New Roman" w:cs="Times New Roman"/>
          <w:color w:val="000000"/>
          <w:shd w:val="clear" w:color="auto" w:fill="FFFFFF"/>
        </w:rPr>
      </w:pPr>
    </w:p>
    <w:p w14:paraId="7AABE51D" w14:textId="77777777" w:rsidR="007D587C" w:rsidRPr="000F45B4" w:rsidRDefault="007D587C" w:rsidP="007D587C">
      <w:pPr>
        <w:jc w:val="both"/>
        <w:rPr>
          <w:rFonts w:ascii="Times New Roman" w:eastAsia="Calibri" w:hAnsi="Times New Roman" w:cs="Times New Roman"/>
          <w:color w:val="000000"/>
          <w:shd w:val="clear" w:color="auto" w:fill="FFFFFF"/>
        </w:rPr>
      </w:pPr>
      <w:r w:rsidRPr="000F45B4">
        <w:rPr>
          <w:rFonts w:ascii="Times New Roman" w:eastAsia="Calibri" w:hAnsi="Times New Roman" w:cs="Times New Roman"/>
          <w:color w:val="000000"/>
          <w:shd w:val="clear" w:color="auto" w:fill="FFFFFF"/>
        </w:rPr>
        <w:t xml:space="preserve">A modell abból a feltételezésből indul ki, hogy a vezető képes rugalmasan váltogatni a vezetési stílusát – szemben </w:t>
      </w:r>
      <w:proofErr w:type="spellStart"/>
      <w:r w:rsidRPr="000F45B4">
        <w:rPr>
          <w:rFonts w:ascii="Times New Roman" w:eastAsia="Calibri" w:hAnsi="Times New Roman" w:cs="Times New Roman"/>
          <w:color w:val="000000"/>
          <w:shd w:val="clear" w:color="auto" w:fill="FFFFFF"/>
        </w:rPr>
        <w:t>Fiedler</w:t>
      </w:r>
      <w:proofErr w:type="spellEnd"/>
      <w:r w:rsidRPr="000F45B4">
        <w:rPr>
          <w:rFonts w:ascii="Times New Roman" w:eastAsia="Calibri" w:hAnsi="Times New Roman" w:cs="Times New Roman"/>
          <w:color w:val="000000"/>
          <w:shd w:val="clear" w:color="auto" w:fill="FFFFFF"/>
        </w:rPr>
        <w:t xml:space="preserve"> elméletével. A szerzők szerint abban az esetben, ha a vezető nem veszi figyelembe az alkalmazottak érettségi szintjét a vezetési stílus kiválasztásakor, az alacsony eredményességhez, munkavállalói kudarcérzéshez és esetleges felmondáshoz is vezethet. Az elmélet azt is hangsúlyozza, hogy a vezetőnek nem érdemes érettségi szintek szerint kategorizálni a munkavállalókat, hiszen mindig az adott feladat/projekt jellege, a dolgozónak az abban való jártassága és az aktuális külső körülmények határozzák meg, hogy milyen érettségi szinten van. Adódhat olyan szituáció, hogy a dolgozó É4-es érettségi szinten van rutinfeladatai tekintetében, azonban É2-esre csúszik vissza egy új projektmunka kapcsán. </w:t>
      </w:r>
    </w:p>
    <w:p w14:paraId="2F8185D8"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189" w:name="_Toc145278649"/>
      <w:bookmarkStart w:id="190" w:name="_Toc145278715"/>
      <w:bookmarkStart w:id="191" w:name="_Toc145278783"/>
      <w:bookmarkStart w:id="192" w:name="_Toc145279327"/>
      <w:bookmarkStart w:id="193" w:name="_Toc145279393"/>
      <w:bookmarkStart w:id="194" w:name="_Toc145281849"/>
      <w:bookmarkStart w:id="195" w:name="_Toc145281968"/>
      <w:bookmarkStart w:id="196" w:name="_Toc145282370"/>
      <w:bookmarkStart w:id="197" w:name="_Toc145363798"/>
      <w:bookmarkStart w:id="198" w:name="_Toc145363870"/>
      <w:bookmarkStart w:id="199" w:name="_Toc145363926"/>
      <w:bookmarkStart w:id="200" w:name="_Toc145364466"/>
      <w:bookmarkStart w:id="201" w:name="_Toc111292699"/>
      <w:bookmarkStart w:id="202" w:name="_Toc118750238"/>
      <w:bookmarkStart w:id="203" w:name="_Toc145962976"/>
      <w:bookmarkEnd w:id="189"/>
      <w:bookmarkEnd w:id="190"/>
      <w:bookmarkEnd w:id="191"/>
      <w:bookmarkEnd w:id="192"/>
      <w:bookmarkEnd w:id="193"/>
      <w:bookmarkEnd w:id="194"/>
      <w:bookmarkEnd w:id="195"/>
      <w:bookmarkEnd w:id="196"/>
      <w:bookmarkEnd w:id="197"/>
      <w:bookmarkEnd w:id="198"/>
      <w:bookmarkEnd w:id="199"/>
      <w:bookmarkEnd w:id="200"/>
      <w:r w:rsidRPr="000F45B4">
        <w:rPr>
          <w:rFonts w:ascii="Times New Roman" w:hAnsi="Times New Roman" w:cs="Times New Roman"/>
        </w:rPr>
        <w:t>Modern vezetéselméletek</w:t>
      </w:r>
      <w:bookmarkEnd w:id="201"/>
      <w:bookmarkEnd w:id="202"/>
      <w:bookmarkEnd w:id="203"/>
    </w:p>
    <w:p w14:paraId="16F8702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color w:val="000000"/>
          <w:shd w:val="clear" w:color="auto" w:fill="FFFFFF"/>
        </w:rPr>
        <w:t xml:space="preserve">Az új (modern) </w:t>
      </w:r>
      <w:proofErr w:type="spellStart"/>
      <w:r w:rsidRPr="000F45B4">
        <w:rPr>
          <w:rFonts w:ascii="Times New Roman" w:eastAsia="Calibri" w:hAnsi="Times New Roman" w:cs="Times New Roman"/>
          <w:color w:val="000000"/>
          <w:shd w:val="clear" w:color="auto" w:fill="FFFFFF"/>
        </w:rPr>
        <w:t>leadership</w:t>
      </w:r>
      <w:proofErr w:type="spellEnd"/>
      <w:r w:rsidRPr="000F45B4">
        <w:rPr>
          <w:rFonts w:ascii="Times New Roman" w:eastAsia="Calibri" w:hAnsi="Times New Roman" w:cs="Times New Roman"/>
          <w:color w:val="000000"/>
          <w:shd w:val="clear" w:color="auto" w:fill="FFFFFF"/>
        </w:rPr>
        <w:t xml:space="preserve"> elméleteket az ezredforduló utolsó két évtizedétől számítjuk, ezeknek az elméleteknek a jellegzetessége, hogy a vezető feladatának azt tekintik, hogy </w:t>
      </w:r>
      <w:r w:rsidRPr="000F45B4">
        <w:rPr>
          <w:rFonts w:ascii="Times New Roman" w:eastAsia="Calibri" w:hAnsi="Times New Roman" w:cs="Times New Roman"/>
        </w:rPr>
        <w:t>olyan magaslatokba emelje embereit (mind teljesítmény, mind elégedettség terén), amiről maguk sem gondolták volna, hogy azt valaha is képesek elérni (</w:t>
      </w:r>
      <w:proofErr w:type="spellStart"/>
      <w:r w:rsidRPr="000F45B4">
        <w:rPr>
          <w:rFonts w:ascii="Times New Roman" w:eastAsia="Calibri" w:hAnsi="Times New Roman" w:cs="Times New Roman"/>
        </w:rPr>
        <w:t>Bryman</w:t>
      </w:r>
      <w:proofErr w:type="spellEnd"/>
      <w:r w:rsidRPr="000F45B4">
        <w:rPr>
          <w:rFonts w:ascii="Times New Roman" w:eastAsia="Calibri" w:hAnsi="Times New Roman" w:cs="Times New Roman"/>
        </w:rPr>
        <w:t xml:space="preserve">, 1992). A modern vezetéselméletek körébe az átalakító vezetés, a karizmatikus vezetés, az autentikus (hiteles) vezetés, a spirituális vezetés, a szolgáló vezetés, a megosztott vezetés és a felelős vezetés sorolható. </w:t>
      </w:r>
    </w:p>
    <w:p w14:paraId="53F298D3"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04" w:name="_Toc111292700"/>
      <w:bookmarkStart w:id="205" w:name="_Toc118750239"/>
      <w:bookmarkStart w:id="206" w:name="_Toc145962977"/>
      <w:r w:rsidRPr="000F45B4">
        <w:rPr>
          <w:rFonts w:ascii="Times New Roman" w:hAnsi="Times New Roman" w:cs="Times New Roman"/>
        </w:rPr>
        <w:t>Karizmatikus vezetés</w:t>
      </w:r>
      <w:bookmarkEnd w:id="204"/>
      <w:bookmarkEnd w:id="205"/>
      <w:bookmarkEnd w:id="206"/>
    </w:p>
    <w:p w14:paraId="1CDDB3A4"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karizmatikus vezetés legfontosabb jellemzője </w:t>
      </w:r>
      <w:proofErr w:type="spellStart"/>
      <w:r w:rsidRPr="000F45B4">
        <w:rPr>
          <w:rFonts w:ascii="Times New Roman" w:eastAsia="Calibri" w:hAnsi="Times New Roman" w:cs="Times New Roman"/>
          <w:strike/>
        </w:rPr>
        <w:t>t</w:t>
      </w:r>
      <w:r w:rsidRPr="000F45B4">
        <w:rPr>
          <w:rFonts w:ascii="Times New Roman" w:eastAsia="Calibri" w:hAnsi="Times New Roman" w:cs="Times New Roman"/>
        </w:rPr>
        <w:t>abban</w:t>
      </w:r>
      <w:proofErr w:type="spellEnd"/>
      <w:r w:rsidRPr="000F45B4">
        <w:rPr>
          <w:rFonts w:ascii="Times New Roman" w:eastAsia="Calibri" w:hAnsi="Times New Roman" w:cs="Times New Roman"/>
        </w:rPr>
        <w:t xml:space="preserve"> keresendő, hogy a vezető felvázol egy vonzó jövőképet, aminek eléréséhez nem mindennapi mértékben és módon tudja mozgósítani a dolgozókat. A karizmatikus vezetők között gyakran emlegetik Steve </w:t>
      </w:r>
      <w:proofErr w:type="spellStart"/>
      <w:r w:rsidRPr="000F45B4">
        <w:rPr>
          <w:rFonts w:ascii="Times New Roman" w:eastAsia="Calibri" w:hAnsi="Times New Roman" w:cs="Times New Roman"/>
        </w:rPr>
        <w:t>Jobst</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Elon</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Muskot</w:t>
      </w:r>
      <w:proofErr w:type="spellEnd"/>
      <w:r w:rsidRPr="000F45B4">
        <w:rPr>
          <w:rFonts w:ascii="Times New Roman" w:eastAsia="Calibri" w:hAnsi="Times New Roman" w:cs="Times New Roman"/>
        </w:rPr>
        <w:t xml:space="preserve">, de karizmatikus vezetőnek tartják Hitlert és Martin Luther </w:t>
      </w:r>
      <w:proofErr w:type="spellStart"/>
      <w:r w:rsidRPr="000F45B4">
        <w:rPr>
          <w:rFonts w:ascii="Times New Roman" w:eastAsia="Calibri" w:hAnsi="Times New Roman" w:cs="Times New Roman"/>
        </w:rPr>
        <w:t>Kinget</w:t>
      </w:r>
      <w:proofErr w:type="spellEnd"/>
      <w:r w:rsidRPr="000F45B4">
        <w:rPr>
          <w:rFonts w:ascii="Times New Roman" w:eastAsia="Calibri" w:hAnsi="Times New Roman" w:cs="Times New Roman"/>
        </w:rPr>
        <w:t xml:space="preserve"> is.</w:t>
      </w:r>
    </w:p>
    <w:p w14:paraId="00415E0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karizmatikus vezetéssel foglalkozó elméleti gondolkodók között a legnagyobb vita azzal kapcsolatban merült fel, hogy mi tekinthető a karizmatikus vezetés elsődleges forrásának:</w:t>
      </w:r>
    </w:p>
    <w:p w14:paraId="66C08536" w14:textId="77777777" w:rsidR="007D587C" w:rsidRPr="000F45B4" w:rsidRDefault="007D587C" w:rsidP="00445121">
      <w:pPr>
        <w:numPr>
          <w:ilvl w:val="0"/>
          <w:numId w:val="7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Az adott szituáció, azaz az a társadalmi, gazdasági vagy szervezeti környezet, amelyet a karizmatikus vezető megváltoztat: bizonyos elméleti szakemberek szerint ugyanis úgy válik valaki karizmatikus vezetővé, hogy az emberek elégedetlenek a jelenlegi status quo-val, változtatni szeretnének rajta, így választanak maguknak ehhez egy vezetőt.</w:t>
      </w:r>
    </w:p>
    <w:p w14:paraId="02C34695" w14:textId="77777777" w:rsidR="007D587C" w:rsidRPr="000F45B4" w:rsidRDefault="007D587C" w:rsidP="00445121">
      <w:pPr>
        <w:numPr>
          <w:ilvl w:val="0"/>
          <w:numId w:val="7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vezető személyes tulajdonságai: az e nézetet vallók úgy gondolják, hogy abból válhat karizmatikus vezető, aki rendelkezik a szükséges tulajdonságokkal, s ehhez nincs szükség arra, hogy az adott szituációval elégedetlenek legyenek az emberek.</w:t>
      </w:r>
    </w:p>
    <w:p w14:paraId="18777B74" w14:textId="77777777" w:rsidR="007D587C" w:rsidRPr="000F45B4" w:rsidRDefault="007D587C" w:rsidP="00445121">
      <w:pPr>
        <w:numPr>
          <w:ilvl w:val="0"/>
          <w:numId w:val="7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Az adott szituáció és a vezető személyes tulajdonságai egyaránt: az elmélet egyre inkább azt igazolja, hogy a karizmatikus vezetéshez az adott helyzettel való elégedetlenségre és karizmatikus vezetői tulajdonságokra is szükség van.</w:t>
      </w:r>
    </w:p>
    <w:p w14:paraId="3AC7C2E5" w14:textId="77777777" w:rsidR="007D587C" w:rsidRPr="000F45B4" w:rsidRDefault="007D587C" w:rsidP="007D587C">
      <w:pPr>
        <w:jc w:val="both"/>
        <w:rPr>
          <w:rFonts w:ascii="Times New Roman" w:eastAsia="Calibri" w:hAnsi="Times New Roman" w:cs="Times New Roman"/>
        </w:rPr>
      </w:pPr>
    </w:p>
    <w:p w14:paraId="1C8CAD0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karizmatikus vezetők jellemzőit számos kutatás igyekezte feltárni, az eredményeket az alábbiakban lehet összefoglalni:</w:t>
      </w:r>
    </w:p>
    <w:p w14:paraId="5BD787BD"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Vízió</w:t>
      </w:r>
      <w:r w:rsidRPr="000F45B4">
        <w:rPr>
          <w:rFonts w:ascii="Times New Roman" w:eastAsia="Calibri" w:hAnsi="Times New Roman" w:cs="Times New Roman"/>
        </w:rPr>
        <w:t>: a karizmatikus vezetők képesek arra, hogy egy olyan jövőképet fogalmazzanak meg, amely sok szempontból jobb és ideálisabb, mint a jelenlegi status quo. Ez a vízió felemel és vonz másokat.</w:t>
      </w:r>
    </w:p>
    <w:p w14:paraId="767F4A74"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Kiváló kommunikációs készség</w:t>
      </w:r>
      <w:r w:rsidRPr="000F45B4">
        <w:rPr>
          <w:rFonts w:ascii="Times New Roman" w:eastAsia="Calibri" w:hAnsi="Times New Roman" w:cs="Times New Roman"/>
        </w:rPr>
        <w:t xml:space="preserve">: ezek a vezetők amellett, hogy rendelkeznek jövőképpel, képesek összetett elképzeléseket és célokat világos, meggyőző módon kommunikálni olyan </w:t>
      </w:r>
      <w:r w:rsidRPr="000F45B4">
        <w:rPr>
          <w:rFonts w:ascii="Times New Roman" w:eastAsia="Calibri" w:hAnsi="Times New Roman" w:cs="Times New Roman"/>
        </w:rPr>
        <w:lastRenderedPageBreak/>
        <w:t>módon, hogy a szervezet legfelsőbb vezetői szintjétől a szervezet alsó szintjéig mindenki megértse és azonosulni tudjon az üzenetükkel.</w:t>
      </w:r>
    </w:p>
    <w:p w14:paraId="0C583A75"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Önbizalom és erkölcsi meggyőződés</w:t>
      </w:r>
      <w:r w:rsidRPr="000F45B4">
        <w:rPr>
          <w:rFonts w:ascii="Times New Roman" w:eastAsia="Calibri" w:hAnsi="Times New Roman" w:cs="Times New Roman"/>
        </w:rPr>
        <w:t>: megingathatatlan önbizalommal, szilárd hittel, erős erkölcsi meggyőződéssel és optimizmussal építenek bizalmat követőikben.</w:t>
      </w:r>
    </w:p>
    <w:p w14:paraId="2FC746CA"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Képesség a bizalom felkeltésére</w:t>
      </w:r>
      <w:r w:rsidRPr="000F45B4">
        <w:rPr>
          <w:rFonts w:ascii="Times New Roman" w:eastAsia="Calibri" w:hAnsi="Times New Roman" w:cs="Times New Roman"/>
        </w:rPr>
        <w:t>: azáltal építenek támogatást és bizalmat, hogy a követők igényei iránti elkötelezettséget mutatnak az önérdekkel szemben és igazságosak. Emellett a vezető hitelessége abból is eredhet, hogy a kívánt viselkedést modellezi, és szimpatikus és hozzáértő képet sugároz magáról.</w:t>
      </w:r>
    </w:p>
    <w:p w14:paraId="0AF37446"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Magas kockázatorientáltság</w:t>
      </w:r>
      <w:r w:rsidRPr="000F45B4">
        <w:rPr>
          <w:rFonts w:ascii="Times New Roman" w:eastAsia="Calibri" w:hAnsi="Times New Roman" w:cs="Times New Roman"/>
        </w:rPr>
        <w:t>: azzal érdemlik ki a követők bizalmát, hogy hajlandóak nagy személyes kockázatot vállalni és szokatlan stratégiákat alkalmaznak a siker eléréséhez.</w:t>
      </w:r>
    </w:p>
    <w:p w14:paraId="38C06072"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Nagy energia és cselekvésorientáltság</w:t>
      </w:r>
      <w:r w:rsidRPr="000F45B4">
        <w:rPr>
          <w:rFonts w:ascii="Times New Roman" w:eastAsia="Calibri" w:hAnsi="Times New Roman" w:cs="Times New Roman"/>
        </w:rPr>
        <w:t xml:space="preserve">: energikusak és példaképként szolgálnak az azonnali cselekvésben. Érzelmeiket a mindennapi munkában is kifejezik, ami energikussá, lelkessé és mások számára vonzóvá teszi őket. </w:t>
      </w:r>
    </w:p>
    <w:p w14:paraId="4740C609"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Kapcsolati hatalmi bázis</w:t>
      </w:r>
      <w:r w:rsidRPr="000F45B4">
        <w:rPr>
          <w:rFonts w:ascii="Times New Roman" w:eastAsia="Calibri" w:hAnsi="Times New Roman" w:cs="Times New Roman"/>
        </w:rPr>
        <w:t>: a karizmatikus vezetés egyik kulcsfontosságú dimenziója a vezető és a követők közötti kapcsolat. A karizmatikus vezetés a követőkkel való érzelmekkel teli kapcsolatot foglalja magában, akik gyakran félelemmel viseltetnek a vezető iránt. A vezetővel való erőteljes azonosulás és utánzás tapasztalható, valamint a vezető feltétel nélküli elfogadása és szeretete.</w:t>
      </w:r>
    </w:p>
    <w:p w14:paraId="1AFA3232"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Minimális belső konfliktus</w:t>
      </w:r>
      <w:r w:rsidRPr="000F45B4">
        <w:rPr>
          <w:rFonts w:ascii="Times New Roman" w:eastAsia="Calibri" w:hAnsi="Times New Roman" w:cs="Times New Roman"/>
        </w:rPr>
        <w:t>: általában meg vannak győződve arról, hogy igazuk van a jövőképük és a stratégia vonatkozásában, ami megmagyarázza, hogy miért tartanak ki az általuk felvázolt irány mellett még a kudarcok ellenére is. E meggyőződésük miatt kevesebb bűntudatot és kellemetlenséget éreznek, amikor arra ösztönzik a követőket, hogy még fenyegetések esetén is tartsanak ki mellettük.</w:t>
      </w:r>
    </w:p>
    <w:p w14:paraId="0B64635C"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Képesség mások felhatalmazására</w:t>
      </w:r>
      <w:r w:rsidRPr="000F45B4">
        <w:rPr>
          <w:rFonts w:ascii="Times New Roman" w:eastAsia="Calibri" w:hAnsi="Times New Roman" w:cs="Times New Roman"/>
        </w:rPr>
        <w:t xml:space="preserve">: karizmatikus vezetők karizmatikus vezetők példamutatással és </w:t>
      </w:r>
      <w:proofErr w:type="spellStart"/>
      <w:r w:rsidRPr="000F45B4">
        <w:rPr>
          <w:rFonts w:ascii="Times New Roman" w:eastAsia="Calibri" w:hAnsi="Times New Roman" w:cs="Times New Roman"/>
        </w:rPr>
        <w:t>coachinggal</w:t>
      </w:r>
      <w:proofErr w:type="spellEnd"/>
      <w:r w:rsidRPr="000F45B4">
        <w:rPr>
          <w:rFonts w:ascii="Times New Roman" w:eastAsia="Calibri" w:hAnsi="Times New Roman" w:cs="Times New Roman"/>
        </w:rPr>
        <w:t>, visszajelzéssel és bátorítással szolgálnak, és meggyőzik a követőket, hogy a képességeik és az önbizalmuk növekedésével egyre nagyobb felelősséget vállaljanak.</w:t>
      </w:r>
    </w:p>
    <w:p w14:paraId="254486EE" w14:textId="77777777" w:rsidR="007D587C" w:rsidRPr="000F45B4" w:rsidRDefault="007D587C" w:rsidP="00445121">
      <w:pPr>
        <w:numPr>
          <w:ilvl w:val="1"/>
          <w:numId w:val="7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Önérvényesítő személyiség</w:t>
      </w:r>
      <w:r w:rsidRPr="000F45B4">
        <w:rPr>
          <w:rFonts w:ascii="Times New Roman" w:eastAsia="Calibri" w:hAnsi="Times New Roman" w:cs="Times New Roman"/>
        </w:rPr>
        <w:t>: még ha senki nem is vállalja fel az ügyüket és áll melléjük, a karizmatikus vezetők akkor is saját magukat és víziójukat népszerűsítik (</w:t>
      </w:r>
      <w:proofErr w:type="spellStart"/>
      <w:r w:rsidRPr="000F45B4">
        <w:rPr>
          <w:rFonts w:ascii="Times New Roman" w:hAnsi="Times New Roman" w:cs="Times New Roman"/>
        </w:rPr>
        <w:t>Lussier</w:t>
      </w:r>
      <w:proofErr w:type="spellEnd"/>
      <w:r w:rsidRPr="000F45B4">
        <w:rPr>
          <w:rFonts w:ascii="Times New Roman" w:hAnsi="Times New Roman" w:cs="Times New Roman"/>
        </w:rPr>
        <w:t xml:space="preserve"> </w:t>
      </w:r>
      <w:r w:rsidRPr="000F45B4">
        <w:rPr>
          <w:rFonts w:ascii="Times New Roman" w:eastAsiaTheme="minorHAnsi" w:hAnsi="Times New Roman" w:cs="Times New Roman"/>
        </w:rPr>
        <w:t>&amp;</w:t>
      </w:r>
      <w:r w:rsidRPr="000F45B4">
        <w:rPr>
          <w:rFonts w:ascii="Times New Roman" w:hAnsi="Times New Roman" w:cs="Times New Roman"/>
        </w:rPr>
        <w:t xml:space="preserve"> </w:t>
      </w:r>
      <w:proofErr w:type="spellStart"/>
      <w:r w:rsidRPr="000F45B4">
        <w:rPr>
          <w:rFonts w:ascii="Times New Roman" w:hAnsi="Times New Roman" w:cs="Times New Roman"/>
        </w:rPr>
        <w:t>Aucha</w:t>
      </w:r>
      <w:proofErr w:type="spellEnd"/>
      <w:r w:rsidRPr="000F45B4">
        <w:rPr>
          <w:rFonts w:ascii="Times New Roman" w:hAnsi="Times New Roman" w:cs="Times New Roman"/>
        </w:rPr>
        <w:t>, 2015).</w:t>
      </w:r>
    </w:p>
    <w:p w14:paraId="50F92F61"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karizmatikus vezető tulajdonságait és jellemző viselkedésjegyeit, valamint a karizmatikus vezetés dolgozókra gyakorolt hatását jól összefoglalja House munkája (2. táblázat).</w:t>
      </w:r>
    </w:p>
    <w:p w14:paraId="029B6AB1" w14:textId="77777777" w:rsidR="007D587C" w:rsidRPr="000F45B4" w:rsidRDefault="007D587C" w:rsidP="007D587C">
      <w:pPr>
        <w:jc w:val="both"/>
        <w:rPr>
          <w:rFonts w:ascii="Times New Roman" w:eastAsia="Calibri" w:hAnsi="Times New Roman" w:cs="Times New Roman"/>
        </w:rPr>
      </w:pPr>
    </w:p>
    <w:p w14:paraId="1F58C299"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6582612E" wp14:editId="55D71300">
            <wp:extent cx="4876800" cy="1869456"/>
            <wp:effectExtent l="0" t="0" r="0" b="0"/>
            <wp:docPr id="1810008259" name="Kép 1810008259"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59" name="Kép 1810008259" descr="A képen szöveg, képernyőkép, Betűtípus, szám látható&#10;&#10;Automatikusan generált leírás"/>
                    <pic:cNvPicPr/>
                  </pic:nvPicPr>
                  <pic:blipFill>
                    <a:blip r:embed="rId45"/>
                    <a:stretch>
                      <a:fillRect/>
                    </a:stretch>
                  </pic:blipFill>
                  <pic:spPr>
                    <a:xfrm>
                      <a:off x="0" y="0"/>
                      <a:ext cx="4876800" cy="1869456"/>
                    </a:xfrm>
                    <a:prstGeom prst="rect">
                      <a:avLst/>
                    </a:prstGeom>
                  </pic:spPr>
                </pic:pic>
              </a:graphicData>
            </a:graphic>
          </wp:inline>
        </w:drawing>
      </w:r>
    </w:p>
    <w:p w14:paraId="2B2E2733"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rPr>
        <w:t>2. táblázat: A karizmatikus vezetés elmélete</w:t>
      </w:r>
    </w:p>
    <w:p w14:paraId="24A2A22D" w14:textId="77777777" w:rsidR="007D587C" w:rsidRPr="000F45B4" w:rsidRDefault="007D587C" w:rsidP="007D587C">
      <w:pPr>
        <w:jc w:val="center"/>
        <w:rPr>
          <w:rFonts w:ascii="Times New Roman" w:eastAsia="Calibri" w:hAnsi="Times New Roman" w:cs="Times New Roman"/>
          <w:i/>
          <w:iCs/>
        </w:rPr>
      </w:pPr>
      <w:r w:rsidRPr="000F45B4">
        <w:rPr>
          <w:rFonts w:ascii="Times New Roman" w:eastAsia="Calibri" w:hAnsi="Times New Roman" w:cs="Times New Roman"/>
          <w:i/>
          <w:iCs/>
        </w:rPr>
        <w:t>Forrás: saját szerkesztés House (1976) alapján</w:t>
      </w:r>
    </w:p>
    <w:p w14:paraId="0E34593D" w14:textId="77777777" w:rsidR="007D587C" w:rsidRPr="000F45B4" w:rsidRDefault="007D587C" w:rsidP="007D587C">
      <w:pPr>
        <w:jc w:val="both"/>
        <w:rPr>
          <w:rFonts w:ascii="Times New Roman" w:eastAsia="Calibri" w:hAnsi="Times New Roman" w:cs="Times New Roman"/>
        </w:rPr>
      </w:pPr>
    </w:p>
    <w:p w14:paraId="0950382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karizmatikus vezetésnek vagy egy ún. sötét oldala is. Ez a sötét oldal tulajdonképpen arra utal, hogy vannak olyan karizmatikus vezetők, akik nem a szervezeti tagok vagy a közösség érdekeit tartják szem előtt, hanem saját önös céljaik elérését. A szakirodalomban (</w:t>
      </w:r>
      <w:proofErr w:type="spellStart"/>
      <w:r w:rsidRPr="000F45B4">
        <w:rPr>
          <w:rFonts w:ascii="Times New Roman" w:eastAsia="Calibri" w:hAnsi="Times New Roman" w:cs="Times New Roman"/>
        </w:rPr>
        <w:t>Fogarty</w:t>
      </w:r>
      <w:proofErr w:type="spellEnd"/>
      <w:r w:rsidRPr="000F45B4">
        <w:rPr>
          <w:rFonts w:ascii="Times New Roman" w:eastAsia="Calibri" w:hAnsi="Times New Roman" w:cs="Times New Roman"/>
        </w:rPr>
        <w:t xml:space="preserve">, 2010) ezért megkülönböztetnek </w:t>
      </w:r>
      <w:r w:rsidRPr="000F45B4">
        <w:rPr>
          <w:rFonts w:ascii="Times New Roman" w:eastAsia="Calibri" w:hAnsi="Times New Roman" w:cs="Times New Roman"/>
          <w:i/>
          <w:iCs/>
        </w:rPr>
        <w:lastRenderedPageBreak/>
        <w:t>egocentrikus</w:t>
      </w:r>
      <w:r w:rsidRPr="000F45B4">
        <w:rPr>
          <w:rFonts w:ascii="Times New Roman" w:eastAsia="Calibri" w:hAnsi="Times New Roman" w:cs="Times New Roman"/>
        </w:rPr>
        <w:t xml:space="preserve"> és a </w:t>
      </w:r>
      <w:r w:rsidRPr="000F45B4">
        <w:rPr>
          <w:rFonts w:ascii="Times New Roman" w:eastAsia="Calibri" w:hAnsi="Times New Roman" w:cs="Times New Roman"/>
          <w:i/>
          <w:iCs/>
        </w:rPr>
        <w:t xml:space="preserve">szocializált </w:t>
      </w:r>
      <w:r w:rsidRPr="000F45B4">
        <w:rPr>
          <w:rFonts w:ascii="Times New Roman" w:eastAsia="Calibri" w:hAnsi="Times New Roman" w:cs="Times New Roman"/>
        </w:rPr>
        <w:t>karizmatikus vezetőket. Az egocentrikus karizmatikus vezetés kizsákmányoló és önérdekeltségnövelő, míg a szocializált karizmatikus vezetés nagyobb valószínűséggel hatalmazza fel a követőket, nem kizsákmányoló, és inkább a szervezeti, mint a személyes szükségletek motiválják. Az egocentrikus karizmatikus vezetők jellemzően tekintélyelvűek és nárcisztikusak, jellemző rajuk a centralizált döntéshozatal. Céljaik a saját érdekeiket tükrözik, míg a szervezet és a tagok igényeit manipulálják a saját vágyaik elérése érdekében. Ezzel szemben a szocializált karizmatikus vezetők olyan jövőképet artikulálnak, amely a szervezet érdekeit szolgálja és arra törekszenek, hogy aktívan felhatalmazzák a követőket, céljaik elérése érdekében pedig a hatalom bevett csatornáin keresztül kormányoznak. Az ilyen vezető tiszteletet tanúsít a legitim hatalmi csatornák iránt, és a vezető és a szervezeti tagok közötti kapcsolat kevésbé a vezető személyiségére, inkább a vezetőnek a szervezetről, annak eszméiről és céljairól szóló üzenetére összpontosít. Ebben a kapcsolatban a követők képesek korlátokat szabni a vezető befolyásának, és kevésbé nyitottak a vezető általi manipulációra. A szocializált karizma nem tekinthető kizsákmányolónak, és inkább a követők szükségleteire összpontosít.</w:t>
      </w:r>
    </w:p>
    <w:p w14:paraId="6587E6F8"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color w:val="1F3763"/>
        </w:rPr>
      </w:pPr>
      <w:bookmarkStart w:id="207" w:name="_Toc111292702"/>
      <w:bookmarkStart w:id="208" w:name="_Toc118750240"/>
      <w:bookmarkStart w:id="209" w:name="_Toc145962978"/>
      <w:r w:rsidRPr="000F45B4">
        <w:rPr>
          <w:rFonts w:ascii="Times New Roman" w:hAnsi="Times New Roman" w:cs="Times New Roman"/>
        </w:rPr>
        <w:t>A vezetés alternatív megközelítései: a megosztott és a felelős vezetés</w:t>
      </w:r>
      <w:bookmarkEnd w:id="207"/>
      <w:bookmarkEnd w:id="208"/>
      <w:bookmarkEnd w:id="209"/>
    </w:p>
    <w:p w14:paraId="29B4A30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b/>
          <w:bCs/>
        </w:rPr>
        <w:t>megosztott vezetés</w:t>
      </w:r>
      <w:r w:rsidRPr="000F45B4">
        <w:rPr>
          <w:rFonts w:ascii="Times New Roman" w:eastAsia="Calibri" w:hAnsi="Times New Roman" w:cs="Times New Roman"/>
        </w:rPr>
        <w:t xml:space="preserve"> – a hierarchikus vezetéssel szemben – elismeri a vezetői funkció, a hatalom és a döntéshozatal megosztását a személyzet minden szintjén és pozíciójában (</w:t>
      </w:r>
      <w:proofErr w:type="spellStart"/>
      <w:r w:rsidRPr="000F45B4">
        <w:rPr>
          <w:rFonts w:ascii="Times New Roman" w:eastAsia="Calibri" w:hAnsi="Times New Roman" w:cs="Times New Roman"/>
        </w:rPr>
        <w:t>Mullins</w:t>
      </w:r>
      <w:proofErr w:type="spellEnd"/>
      <w:r w:rsidRPr="000F45B4">
        <w:rPr>
          <w:rFonts w:ascii="Times New Roman" w:eastAsia="Calibri" w:hAnsi="Times New Roman" w:cs="Times New Roman"/>
        </w:rPr>
        <w:t>, 2016). A megosztott vezetés jellemzőit</w:t>
      </w:r>
      <w:r w:rsidRPr="000F45B4">
        <w:rPr>
          <w:rFonts w:ascii="Times New Roman" w:eastAsia="Calibri" w:hAnsi="Times New Roman" w:cs="Times New Roman"/>
          <w:vertAlign w:val="superscript"/>
        </w:rPr>
        <w:t xml:space="preserve"> </w:t>
      </w:r>
      <w:r w:rsidRPr="000F45B4">
        <w:rPr>
          <w:rFonts w:ascii="Times New Roman" w:eastAsia="Calibri" w:hAnsi="Times New Roman" w:cs="Times New Roman"/>
        </w:rPr>
        <w:t>az alábbiak szerint foglalhatjuk össze:</w:t>
      </w:r>
    </w:p>
    <w:p w14:paraId="11DEB203" w14:textId="77777777" w:rsidR="007D587C" w:rsidRPr="000F45B4" w:rsidRDefault="007D587C" w:rsidP="00445121">
      <w:pPr>
        <w:numPr>
          <w:ilvl w:val="0"/>
          <w:numId w:val="7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csapatközpontú jelenség, amelynek során a csapattagok vezetői szerepeket és felelősséget vállalnak a csapat nevében és elfogadják kollégáik vezetését,</w:t>
      </w:r>
    </w:p>
    <w:p w14:paraId="275FE399" w14:textId="77777777" w:rsidR="007D587C" w:rsidRPr="000F45B4" w:rsidRDefault="007D587C" w:rsidP="00445121">
      <w:pPr>
        <w:numPr>
          <w:ilvl w:val="0"/>
          <w:numId w:val="7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nem egy statikus folyamat, hanem egy kialakuló, dinamikus jelenségként határozzák meg, amely az idő múlásával bontakozik ki,</w:t>
      </w:r>
    </w:p>
    <w:p w14:paraId="24AB3B80" w14:textId="77777777" w:rsidR="007D587C" w:rsidRPr="000F45B4" w:rsidRDefault="007D587C" w:rsidP="00445121">
      <w:pPr>
        <w:numPr>
          <w:ilvl w:val="0"/>
          <w:numId w:val="7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megosztott vezetést egy alacsonytól a magas szintig terjedő kontinuitás szempontjából vizsgálják, ami azt jelenti, hogy a megosztott vezetés nem egy merev vagy-vagy kategória, hanem minden csoportban különböző szinteken fordul elő,</w:t>
      </w:r>
    </w:p>
    <w:p w14:paraId="58166BF3" w14:textId="77777777" w:rsidR="007D587C" w:rsidRPr="000F45B4" w:rsidRDefault="007D587C" w:rsidP="00445121">
      <w:pPr>
        <w:numPr>
          <w:ilvl w:val="0"/>
          <w:numId w:val="7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vezetők különböző szervezeti igények alapján alakulnak ki, az egyes személyek funkciója és szerepe a feladattól függően jelentősen változhat ahogy a szervezet új problémákkal szembesül, új kezdeményezéseket valósít meg, és reagál a működési környezet változásaira (</w:t>
      </w:r>
      <w:r w:rsidRPr="000F45B4">
        <w:rPr>
          <w:rFonts w:ascii="Times New Roman" w:hAnsi="Times New Roman" w:cs="Times New Roman"/>
        </w:rPr>
        <w:t xml:space="preserve">Wu </w:t>
      </w:r>
      <w:r w:rsidRPr="000F45B4">
        <w:rPr>
          <w:rFonts w:ascii="Times New Roman" w:eastAsiaTheme="minorHAnsi" w:hAnsi="Times New Roman" w:cs="Times New Roman"/>
        </w:rPr>
        <w:t>&amp;</w:t>
      </w:r>
      <w:r w:rsidRPr="000F45B4">
        <w:rPr>
          <w:rFonts w:ascii="Times New Roman" w:hAnsi="Times New Roman" w:cs="Times New Roman"/>
        </w:rPr>
        <w:t xml:space="preserve"> </w:t>
      </w:r>
      <w:proofErr w:type="spellStart"/>
      <w:r w:rsidRPr="000F45B4">
        <w:rPr>
          <w:rFonts w:ascii="Times New Roman" w:hAnsi="Times New Roman" w:cs="Times New Roman"/>
        </w:rPr>
        <w:t>Cormikan</w:t>
      </w:r>
      <w:proofErr w:type="spellEnd"/>
      <w:r w:rsidRPr="000F45B4">
        <w:rPr>
          <w:rFonts w:ascii="Times New Roman" w:hAnsi="Times New Roman" w:cs="Times New Roman"/>
        </w:rPr>
        <w:t xml:space="preserve">, 2021; Jones </w:t>
      </w:r>
      <w:proofErr w:type="spellStart"/>
      <w:r w:rsidRPr="000F45B4">
        <w:rPr>
          <w:rFonts w:ascii="Times New Roman" w:hAnsi="Times New Roman" w:cs="Times New Roman"/>
        </w:rPr>
        <w:t>et</w:t>
      </w:r>
      <w:proofErr w:type="spellEnd"/>
      <w:r w:rsidRPr="000F45B4">
        <w:rPr>
          <w:rFonts w:ascii="Times New Roman" w:hAnsi="Times New Roman" w:cs="Times New Roman"/>
        </w:rPr>
        <w:t xml:space="preserve"> </w:t>
      </w:r>
      <w:proofErr w:type="spellStart"/>
      <w:r w:rsidRPr="000F45B4">
        <w:rPr>
          <w:rFonts w:ascii="Times New Roman" w:hAnsi="Times New Roman" w:cs="Times New Roman"/>
        </w:rPr>
        <w:t>al</w:t>
      </w:r>
      <w:proofErr w:type="spellEnd"/>
      <w:r w:rsidRPr="000F45B4">
        <w:rPr>
          <w:rFonts w:ascii="Times New Roman" w:hAnsi="Times New Roman" w:cs="Times New Roman"/>
        </w:rPr>
        <w:t>., 2018).</w:t>
      </w:r>
    </w:p>
    <w:p w14:paraId="6F3829EF" w14:textId="77777777" w:rsidR="007D587C" w:rsidRPr="000F45B4" w:rsidRDefault="007D587C" w:rsidP="007D587C">
      <w:pPr>
        <w:rPr>
          <w:rFonts w:ascii="Times New Roman" w:eastAsia="Calibri" w:hAnsi="Times New Roman" w:cs="Times New Roman"/>
        </w:rPr>
      </w:pPr>
    </w:p>
    <w:p w14:paraId="173EE98E" w14:textId="6730AB21" w:rsidR="007D587C" w:rsidRPr="000F45B4" w:rsidRDefault="007D587C" w:rsidP="007D587C">
      <w:pPr>
        <w:rPr>
          <w:rFonts w:ascii="Times New Roman" w:eastAsia="Calibri" w:hAnsi="Times New Roman" w:cs="Times New Roman"/>
        </w:rPr>
      </w:pPr>
      <w:r w:rsidRPr="000F45B4">
        <w:rPr>
          <w:rFonts w:ascii="Times New Roman" w:eastAsia="Calibri" w:hAnsi="Times New Roman" w:cs="Times New Roman"/>
        </w:rPr>
        <w:t>A megosztott vezetés megvalósulásához szükség van az elszámoltathatóság, méltányosság, partnerség és a tulajdonosi szemlélet kialakítására (7. ábra).</w:t>
      </w:r>
    </w:p>
    <w:p w14:paraId="6392BD82"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3700D96B" wp14:editId="36A19F5C">
            <wp:extent cx="4897821" cy="2137981"/>
            <wp:effectExtent l="0" t="0" r="4445" b="0"/>
            <wp:docPr id="1810008260" name="Kép 1810008260"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0" name="Kép 1810008260" descr="A képen szöveg, képernyőkép, Betűtípus, szám látható&#10;&#10;Automatikusan generált leírás"/>
                    <pic:cNvPicPr/>
                  </pic:nvPicPr>
                  <pic:blipFill>
                    <a:blip r:embed="rId46"/>
                    <a:stretch>
                      <a:fillRect/>
                    </a:stretch>
                  </pic:blipFill>
                  <pic:spPr>
                    <a:xfrm>
                      <a:off x="0" y="0"/>
                      <a:ext cx="4898905" cy="2138454"/>
                    </a:xfrm>
                    <a:prstGeom prst="rect">
                      <a:avLst/>
                    </a:prstGeom>
                  </pic:spPr>
                </pic:pic>
              </a:graphicData>
            </a:graphic>
          </wp:inline>
        </w:drawing>
      </w:r>
    </w:p>
    <w:p w14:paraId="0F7D04AA"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rPr>
        <w:t>7. ábra: A megosztott vezetés feltételei</w:t>
      </w:r>
    </w:p>
    <w:p w14:paraId="4A289877" w14:textId="77777777" w:rsidR="007D587C" w:rsidRPr="000F45B4" w:rsidRDefault="007D587C" w:rsidP="007D587C">
      <w:pPr>
        <w:ind w:left="1800"/>
        <w:contextualSpacing/>
        <w:jc w:val="both"/>
        <w:rPr>
          <w:rFonts w:ascii="Times New Roman" w:eastAsia="Calibri" w:hAnsi="Times New Roman" w:cs="Times New Roman"/>
          <w:i/>
          <w:iCs/>
        </w:rPr>
      </w:pPr>
      <w:r w:rsidRPr="000F45B4">
        <w:rPr>
          <w:rFonts w:ascii="Times New Roman" w:eastAsia="Calibri" w:hAnsi="Times New Roman" w:cs="Times New Roman"/>
          <w:i/>
          <w:iCs/>
        </w:rPr>
        <w:t xml:space="preserve">Forrás: saját szerkesztés </w:t>
      </w:r>
      <w:proofErr w:type="spellStart"/>
      <w:r w:rsidRPr="000F45B4">
        <w:rPr>
          <w:rFonts w:ascii="Times New Roman" w:eastAsia="Calibri" w:hAnsi="Times New Roman" w:cs="Times New Roman"/>
          <w:i/>
          <w:iCs/>
        </w:rPr>
        <w:t>Carson</w:t>
      </w:r>
      <w:proofErr w:type="spellEnd"/>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et</w:t>
      </w:r>
      <w:proofErr w:type="spellEnd"/>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al</w:t>
      </w:r>
      <w:proofErr w:type="spellEnd"/>
      <w:r w:rsidRPr="000F45B4">
        <w:rPr>
          <w:rFonts w:ascii="Times New Roman" w:eastAsia="Calibri" w:hAnsi="Times New Roman" w:cs="Times New Roman"/>
          <w:i/>
          <w:iCs/>
        </w:rPr>
        <w:t>. (2007) alapján</w:t>
      </w:r>
    </w:p>
    <w:p w14:paraId="126DFB9A"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lastRenderedPageBreak/>
        <w:t>A kutatók a megosztott vezetés számos pozitív hatásairól számoltak be. A vizsgálatok tanulsága szerint</w:t>
      </w:r>
      <w:r w:rsidRPr="000F45B4">
        <w:rPr>
          <w:rFonts w:ascii="Times New Roman" w:eastAsia="Calibri" w:hAnsi="Times New Roman" w:cs="Times New Roman"/>
          <w:vertAlign w:val="superscript"/>
        </w:rPr>
        <w:t xml:space="preserve"> </w:t>
      </w:r>
      <w:r w:rsidRPr="000F45B4">
        <w:rPr>
          <w:rFonts w:ascii="Times New Roman" w:eastAsia="Calibri" w:hAnsi="Times New Roman" w:cs="Times New Roman"/>
        </w:rPr>
        <w:t>a megosztott vezetés, valamint a csapatteljesítmény, a csapat működése és proaktív viselkedése, a csapat és az egyén tanulása, a csapattagok sokszínűsége, a csapattagok bizalma, autonómiája és elégedettsége között pozitív kapcsolat van (</w:t>
      </w:r>
      <w:r w:rsidRPr="000F45B4">
        <w:rPr>
          <w:rFonts w:ascii="Times New Roman" w:hAnsi="Times New Roman" w:cs="Times New Roman"/>
        </w:rPr>
        <w:t xml:space="preserve">Wu </w:t>
      </w:r>
      <w:r w:rsidRPr="000F45B4">
        <w:rPr>
          <w:rFonts w:ascii="Times New Roman" w:eastAsiaTheme="minorHAnsi" w:hAnsi="Times New Roman" w:cs="Times New Roman"/>
        </w:rPr>
        <w:t>&amp;</w:t>
      </w:r>
      <w:r w:rsidRPr="000F45B4">
        <w:rPr>
          <w:rFonts w:ascii="Times New Roman" w:hAnsi="Times New Roman" w:cs="Times New Roman"/>
        </w:rPr>
        <w:t xml:space="preserve"> </w:t>
      </w:r>
      <w:proofErr w:type="spellStart"/>
      <w:r w:rsidRPr="000F45B4">
        <w:rPr>
          <w:rFonts w:ascii="Times New Roman" w:hAnsi="Times New Roman" w:cs="Times New Roman"/>
        </w:rPr>
        <w:t>Cormikan</w:t>
      </w:r>
      <w:proofErr w:type="spellEnd"/>
      <w:r w:rsidRPr="000F45B4">
        <w:rPr>
          <w:rFonts w:ascii="Times New Roman" w:hAnsi="Times New Roman" w:cs="Times New Roman"/>
        </w:rPr>
        <w:t>, 2021).</w:t>
      </w:r>
    </w:p>
    <w:p w14:paraId="205A0BC7" w14:textId="77777777" w:rsidR="007D587C" w:rsidRPr="000F45B4" w:rsidRDefault="007D587C" w:rsidP="007D587C">
      <w:pPr>
        <w:jc w:val="both"/>
        <w:rPr>
          <w:rFonts w:ascii="Times New Roman" w:eastAsia="Calibri" w:hAnsi="Times New Roman" w:cs="Times New Roman"/>
        </w:rPr>
      </w:pPr>
    </w:p>
    <w:p w14:paraId="39829A0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b/>
          <w:bCs/>
        </w:rPr>
        <w:t>felelős vezetés</w:t>
      </w:r>
      <w:r w:rsidRPr="000F45B4">
        <w:rPr>
          <w:rFonts w:ascii="Times New Roman" w:eastAsia="Calibri" w:hAnsi="Times New Roman" w:cs="Times New Roman"/>
          <w:b/>
          <w:bCs/>
          <w:vertAlign w:val="superscript"/>
        </w:rPr>
        <w:t xml:space="preserve"> </w:t>
      </w:r>
      <w:r w:rsidRPr="000F45B4">
        <w:rPr>
          <w:rFonts w:ascii="Times New Roman" w:eastAsia="Calibri" w:hAnsi="Times New Roman" w:cs="Times New Roman"/>
        </w:rPr>
        <w:t>kifejezés egy szervezetnek az irányítással, a társadalmi felelősséggel és az üzleti etikával kapcsolatos megközelítése. Az üzleti vezetők feladatának tartják, hogy demonstrálják elkötelezettségüket egy igazságosabb társadalom és egy fenntarthatóbb jövő megteremtése mellett - olyan kultúra kialakításával, amely ösztönzi az innovációt, jutalmazza a helyes magatartást és visszaszerzi a bizalmat (</w:t>
      </w:r>
      <w:proofErr w:type="spellStart"/>
      <w:r w:rsidRPr="000F45B4">
        <w:rPr>
          <w:rFonts w:ascii="Times New Roman" w:eastAsia="Calibri" w:hAnsi="Times New Roman" w:cs="Times New Roman"/>
        </w:rPr>
        <w:t>Mullins</w:t>
      </w:r>
      <w:proofErr w:type="spellEnd"/>
      <w:r w:rsidRPr="000F45B4">
        <w:rPr>
          <w:rFonts w:ascii="Times New Roman" w:eastAsia="Calibri" w:hAnsi="Times New Roman" w:cs="Times New Roman"/>
        </w:rPr>
        <w:t>, 2016).</w:t>
      </w:r>
    </w:p>
    <w:p w14:paraId="625CA68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kutatások azt mutatják, hogy az olyan személyes tulajdonságok, mint a kapcsolati intelligencia, az empátia, a kognitív erkölcsi fejlődés, a machiavellizmus fontos szerepet játszanak a felelős vezetés kialakulásában és fejlődésében:</w:t>
      </w:r>
    </w:p>
    <w:p w14:paraId="176CB580"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Kapcsolati intelligencia</w:t>
      </w:r>
      <w:r w:rsidRPr="000F45B4">
        <w:rPr>
          <w:rFonts w:ascii="Times New Roman" w:eastAsia="Calibri" w:hAnsi="Times New Roman" w:cs="Times New Roman"/>
        </w:rPr>
        <w:t xml:space="preserve">: vezetőknek erős szociális képességekkel és készségekkel kell rendelkezniük, hogy megbirkózzanak a különböző érdekeltekkel. A kapcsolati intelligencia magában foglalja az érzelmi intelligenciát és az etikai intelligenciát. A magas érzelmi intelligenciával rendelkező vezetők jól tudják kontrollálni és használni saját érzelmeiket, és megértik mások érzelmeit, ezáltal hatékonyan kezelik a komplex kapcsolatokat. Az etikai intelligenciával rendelkező vezetők hajlamosabbak arra, hogy tisztességesen járjanak el, "nyereséget termeljenek elvekkel", ami hozzájárul az érdekelt felekkel való bizalmi kapcsolat kiépítéséhez. </w:t>
      </w:r>
    </w:p>
    <w:p w14:paraId="407BB509"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Empátia</w:t>
      </w:r>
      <w:r w:rsidRPr="000F45B4">
        <w:rPr>
          <w:rFonts w:ascii="Times New Roman" w:eastAsia="Calibri" w:hAnsi="Times New Roman" w:cs="Times New Roman"/>
        </w:rPr>
        <w:t xml:space="preserve">: az empátiával rendelkező vezetők nagyobb valószínűséggel törődnek az érdekelt felekkel, az empátia így bizonyos mértékig előre jelzi, hogy egy vezető felelős vezető-e. Az empátiával rendelkező vezetők hajlamosak jótékonykodni és felelősen viselkedni, nagyobb valószínűséggel hoznak etikus döntéseket és vállalnak felelősséget az </w:t>
      </w:r>
      <w:proofErr w:type="spellStart"/>
      <w:r w:rsidRPr="000F45B4">
        <w:rPr>
          <w:rFonts w:ascii="Times New Roman" w:eastAsia="Calibri" w:hAnsi="Times New Roman" w:cs="Times New Roman"/>
        </w:rPr>
        <w:t>alkalmazottaikért</w:t>
      </w:r>
      <w:proofErr w:type="spellEnd"/>
      <w:r w:rsidRPr="000F45B4">
        <w:rPr>
          <w:rFonts w:ascii="Times New Roman" w:eastAsia="Calibri" w:hAnsi="Times New Roman" w:cs="Times New Roman"/>
        </w:rPr>
        <w:t>.</w:t>
      </w:r>
    </w:p>
    <w:p w14:paraId="64DCE353"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Kognitív erkölcsi fejlődés</w:t>
      </w:r>
      <w:r w:rsidRPr="000F45B4">
        <w:rPr>
          <w:rFonts w:ascii="Times New Roman" w:eastAsia="Calibri" w:hAnsi="Times New Roman" w:cs="Times New Roman"/>
        </w:rPr>
        <w:t>: a kognitív erkölcs fejlődésével az egyének javítják erkölcsi ítélőképességüket és erkölcsi döntésképességüket, így erkölcsi dilemmával szembesülve tudják, hogyan kell etikusan eljárni. Ez azt jelenti, hogy a magas kognitív erkölcsi fejlettséggel rendelkező vezetők az erkölcsi problémákra olyan etikus megoldásokat fognak javasolni, amelyeket minden érdekelt fél elfogad.</w:t>
      </w:r>
    </w:p>
    <w:p w14:paraId="0909C4D1" w14:textId="77777777" w:rsidR="007D587C" w:rsidRPr="000F45B4" w:rsidRDefault="007D587C" w:rsidP="00445121">
      <w:pPr>
        <w:numPr>
          <w:ilvl w:val="0"/>
          <w:numId w:val="6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Alacsony machiavellizmus</w:t>
      </w:r>
      <w:r w:rsidRPr="000F45B4">
        <w:rPr>
          <w:rFonts w:ascii="Times New Roman" w:eastAsia="Calibri" w:hAnsi="Times New Roman" w:cs="Times New Roman"/>
        </w:rPr>
        <w:t>: a machiavellizmus bizonyítottan negatív tényező a felelős vezetők számára. A machiavellizmus azt a hajlamot tükrözi, hogy valaki mást kihasználva személyes érdekeit mások érdekeinek figyelembevétele nélkül érje el, és a machiavellizmussal rendelkező vezetők hajlamosak másokkal szemben bizalmatlanok lenni és másokat irányítani, figyelmen kívül hagyni az etikai elveket. Tehát megállapíthatjuk, hogy a machiavellizmussal rendelkező vezetők számára nehéz baráti kapcsolatot kiépíteni az érdekeltekkel, nemhogy felelősséget vállalni az érdekeltekért (</w:t>
      </w:r>
      <w:proofErr w:type="spellStart"/>
      <w:r w:rsidRPr="000F45B4">
        <w:rPr>
          <w:rFonts w:ascii="Times New Roman" w:hAnsi="Times New Roman" w:cs="Times New Roman"/>
        </w:rPr>
        <w:t>Shi</w:t>
      </w:r>
      <w:proofErr w:type="spellEnd"/>
      <w:r w:rsidRPr="000F45B4">
        <w:rPr>
          <w:rFonts w:ascii="Times New Roman" w:hAnsi="Times New Roman" w:cs="Times New Roman"/>
        </w:rPr>
        <w:t xml:space="preserve"> </w:t>
      </w:r>
      <w:r w:rsidRPr="000F45B4">
        <w:rPr>
          <w:rFonts w:ascii="Times New Roman" w:eastAsiaTheme="minorHAnsi" w:hAnsi="Times New Roman" w:cs="Times New Roman"/>
        </w:rPr>
        <w:t xml:space="preserve">&amp; </w:t>
      </w:r>
      <w:proofErr w:type="spellStart"/>
      <w:r w:rsidRPr="000F45B4">
        <w:rPr>
          <w:rFonts w:ascii="Times New Roman" w:hAnsi="Times New Roman" w:cs="Times New Roman"/>
        </w:rPr>
        <w:t>Ye</w:t>
      </w:r>
      <w:proofErr w:type="spellEnd"/>
      <w:r w:rsidRPr="000F45B4">
        <w:rPr>
          <w:rFonts w:ascii="Times New Roman" w:hAnsi="Times New Roman" w:cs="Times New Roman"/>
        </w:rPr>
        <w:t>, 2016).</w:t>
      </w:r>
    </w:p>
    <w:p w14:paraId="56D03B59" w14:textId="77777777" w:rsidR="007D587C" w:rsidRPr="000F45B4" w:rsidRDefault="007D587C" w:rsidP="007D587C">
      <w:pPr>
        <w:rPr>
          <w:rFonts w:ascii="Times New Roman" w:eastAsia="Calibri" w:hAnsi="Times New Roman" w:cs="Times New Roman"/>
        </w:rPr>
      </w:pPr>
    </w:p>
    <w:p w14:paraId="0D81B2BB" w14:textId="77777777" w:rsidR="007D587C" w:rsidRPr="000F45B4" w:rsidRDefault="007D587C" w:rsidP="007D587C">
      <w:pPr>
        <w:rPr>
          <w:rFonts w:ascii="Times New Roman" w:hAnsi="Times New Roman" w:cs="Times New Roman"/>
        </w:rPr>
      </w:pPr>
      <w:r w:rsidRPr="000F45B4">
        <w:rPr>
          <w:rFonts w:ascii="Times New Roman" w:hAnsi="Times New Roman" w:cs="Times New Roman"/>
        </w:rPr>
        <w:br w:type="page"/>
      </w:r>
    </w:p>
    <w:p w14:paraId="43B26AE7" w14:textId="77777777" w:rsidR="007D587C" w:rsidRPr="000F45B4" w:rsidRDefault="007D587C" w:rsidP="00445121">
      <w:pPr>
        <w:pStyle w:val="Cmsor1"/>
        <w:numPr>
          <w:ilvl w:val="0"/>
          <w:numId w:val="40"/>
        </w:numPr>
        <w:spacing w:after="120" w:line="240" w:lineRule="auto"/>
        <w:jc w:val="both"/>
        <w:rPr>
          <w:rFonts w:ascii="Times New Roman" w:hAnsi="Times New Roman" w:cs="Times New Roman"/>
        </w:rPr>
      </w:pPr>
      <w:bookmarkStart w:id="210" w:name="_Toc118749520"/>
      <w:bookmarkStart w:id="211" w:name="_Toc145962979"/>
      <w:r w:rsidRPr="000F45B4">
        <w:rPr>
          <w:rFonts w:ascii="Times New Roman" w:hAnsi="Times New Roman" w:cs="Times New Roman"/>
        </w:rPr>
        <w:lastRenderedPageBreak/>
        <w:t>A teljesítményfokozás motivációs kérdései I.</w:t>
      </w:r>
      <w:bookmarkEnd w:id="210"/>
      <w:bookmarkEnd w:id="211"/>
    </w:p>
    <w:p w14:paraId="2EBBF7E3"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212" w:name="_Toc145279333"/>
      <w:bookmarkStart w:id="213" w:name="_Toc145279399"/>
      <w:bookmarkStart w:id="214" w:name="_Toc145281855"/>
      <w:bookmarkStart w:id="215" w:name="_Toc145281974"/>
      <w:bookmarkStart w:id="216" w:name="_Toc145282376"/>
      <w:bookmarkStart w:id="217" w:name="_Toc145363803"/>
      <w:bookmarkStart w:id="218" w:name="_Toc145363875"/>
      <w:bookmarkStart w:id="219" w:name="_Toc145363931"/>
      <w:bookmarkStart w:id="220" w:name="_Toc145364471"/>
      <w:bookmarkStart w:id="221" w:name="_Toc118749521"/>
      <w:bookmarkStart w:id="222" w:name="_Toc145962980"/>
      <w:bookmarkEnd w:id="212"/>
      <w:bookmarkEnd w:id="213"/>
      <w:bookmarkEnd w:id="214"/>
      <w:bookmarkEnd w:id="215"/>
      <w:bookmarkEnd w:id="216"/>
      <w:bookmarkEnd w:id="217"/>
      <w:bookmarkEnd w:id="218"/>
      <w:bookmarkEnd w:id="219"/>
      <w:bookmarkEnd w:id="220"/>
      <w:r w:rsidRPr="000F45B4">
        <w:rPr>
          <w:rFonts w:ascii="Times New Roman" w:hAnsi="Times New Roman" w:cs="Times New Roman"/>
        </w:rPr>
        <w:t>A motiváció és a teljesítmény kapcsolata</w:t>
      </w:r>
      <w:bookmarkEnd w:id="221"/>
      <w:r w:rsidRPr="000F45B4">
        <w:rPr>
          <w:rFonts w:ascii="Times New Roman" w:hAnsi="Times New Roman" w:cs="Times New Roman"/>
        </w:rPr>
        <w:t>, a motiváció folyamata</w:t>
      </w:r>
      <w:bookmarkEnd w:id="222"/>
    </w:p>
    <w:p w14:paraId="7C217C61"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23" w:name="_Toc145962981"/>
      <w:r w:rsidRPr="000F45B4">
        <w:rPr>
          <w:rFonts w:ascii="Times New Roman" w:hAnsi="Times New Roman" w:cs="Times New Roman"/>
        </w:rPr>
        <w:t>A motiváció és a teljesítmény kapcsolata</w:t>
      </w:r>
      <w:bookmarkEnd w:id="223"/>
    </w:p>
    <w:p w14:paraId="2BAD88E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dolgozói magatartást befolyásoló tényezők feltárásával már az 1900-as évek első felétől kezdve foglalkoznak a kutatók. Kezdetben kizárólag a személyes jellemzőkkel és a külső tényezőkkel, később az egyéni motivációval és a képességekkel magyarázták a munkavállalói viselkedést és teljesítményt, majd az 1960-as években azonosítottak még egy fontos meghatározó tényezőt, a dolgozó szerep-érzékelését (8. ábra). </w:t>
      </w:r>
    </w:p>
    <w:p w14:paraId="3B6AD752" w14:textId="77777777" w:rsidR="007D587C" w:rsidRPr="000F45B4" w:rsidRDefault="007D587C" w:rsidP="007D587C">
      <w:pPr>
        <w:jc w:val="both"/>
        <w:rPr>
          <w:rFonts w:ascii="Times New Roman" w:eastAsia="Calibri" w:hAnsi="Times New Roman" w:cs="Times New Roman"/>
        </w:rPr>
      </w:pPr>
    </w:p>
    <w:p w14:paraId="0CD33BDC" w14:textId="77777777" w:rsidR="007D587C" w:rsidRPr="000F45B4" w:rsidRDefault="007D587C" w:rsidP="007D587C">
      <w:pPr>
        <w:contextualSpacing/>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716B5CD1" wp14:editId="3ED4BA4F">
            <wp:extent cx="5091090" cy="2238703"/>
            <wp:effectExtent l="0" t="0" r="1905" b="0"/>
            <wp:docPr id="1810008261" name="Kép 1810008261" descr="A képen szöveg, képernyőkép,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1" name="Kép 1810008261" descr="A képen szöveg, képernyőkép, Betűtípus, diagram látható&#10;&#10;Automatikusan generált leírás"/>
                    <pic:cNvPicPr/>
                  </pic:nvPicPr>
                  <pic:blipFill>
                    <a:blip r:embed="rId47"/>
                    <a:stretch>
                      <a:fillRect/>
                    </a:stretch>
                  </pic:blipFill>
                  <pic:spPr>
                    <a:xfrm>
                      <a:off x="0" y="0"/>
                      <a:ext cx="5094405" cy="2240161"/>
                    </a:xfrm>
                    <a:prstGeom prst="rect">
                      <a:avLst/>
                    </a:prstGeom>
                  </pic:spPr>
                </pic:pic>
              </a:graphicData>
            </a:graphic>
          </wp:inline>
        </w:drawing>
      </w:r>
    </w:p>
    <w:p w14:paraId="1EAC1CF3" w14:textId="77777777" w:rsidR="007D587C" w:rsidRPr="000F45B4" w:rsidRDefault="007D587C" w:rsidP="007D587C">
      <w:pPr>
        <w:contextualSpacing/>
        <w:jc w:val="center"/>
        <w:rPr>
          <w:rFonts w:ascii="Times New Roman" w:eastAsia="Calibri" w:hAnsi="Times New Roman" w:cs="Times New Roman"/>
        </w:rPr>
      </w:pPr>
      <w:r w:rsidRPr="000F45B4">
        <w:rPr>
          <w:rFonts w:ascii="Times New Roman" w:eastAsia="Calibri" w:hAnsi="Times New Roman" w:cs="Times New Roman"/>
        </w:rPr>
        <w:t>8. ábra: MARS modell</w:t>
      </w:r>
    </w:p>
    <w:p w14:paraId="4BDF4854" w14:textId="77777777" w:rsidR="007D587C" w:rsidRPr="000F45B4" w:rsidRDefault="007D587C" w:rsidP="007D587C">
      <w:pPr>
        <w:ind w:left="720"/>
        <w:contextualSpacing/>
        <w:jc w:val="center"/>
        <w:rPr>
          <w:rFonts w:ascii="Times New Roman" w:eastAsia="Calibri" w:hAnsi="Times New Roman" w:cs="Times New Roman"/>
          <w:i/>
          <w:iCs/>
        </w:rPr>
      </w:pPr>
      <w:r w:rsidRPr="000F45B4">
        <w:rPr>
          <w:rFonts w:ascii="Times New Roman" w:eastAsia="Calibri" w:hAnsi="Times New Roman" w:cs="Times New Roman"/>
          <w:i/>
          <w:iCs/>
        </w:rPr>
        <w:t xml:space="preserve">Forrás: </w:t>
      </w:r>
      <w:proofErr w:type="spellStart"/>
      <w:r w:rsidRPr="000F45B4">
        <w:rPr>
          <w:rFonts w:ascii="Times New Roman" w:eastAsia="Calibri" w:hAnsi="Times New Roman" w:cs="Times New Roman"/>
          <w:i/>
          <w:iCs/>
        </w:rPr>
        <w:t>McShane</w:t>
      </w:r>
      <w:proofErr w:type="spellEnd"/>
      <w:r w:rsidRPr="000F45B4">
        <w:rPr>
          <w:rFonts w:ascii="Times New Roman" w:eastAsia="Calibri" w:hAnsi="Times New Roman" w:cs="Times New Roman"/>
          <w:i/>
          <w:iCs/>
        </w:rPr>
        <w:t xml:space="preserve"> </w:t>
      </w:r>
      <w:r w:rsidRPr="000F45B4">
        <w:rPr>
          <w:rFonts w:ascii="Times New Roman" w:eastAsiaTheme="minorHAnsi" w:hAnsi="Times New Roman" w:cs="Times New Roman"/>
        </w:rPr>
        <w:t>&amp;</w:t>
      </w:r>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Glinow</w:t>
      </w:r>
      <w:proofErr w:type="spellEnd"/>
      <w:r w:rsidRPr="000F45B4">
        <w:rPr>
          <w:rFonts w:ascii="Times New Roman" w:eastAsia="Calibri" w:hAnsi="Times New Roman" w:cs="Times New Roman"/>
          <w:i/>
          <w:iCs/>
        </w:rPr>
        <w:t xml:space="preserve"> (2015) alapján saját szerkesztés</w:t>
      </w:r>
    </w:p>
    <w:p w14:paraId="4FE6A53E" w14:textId="77777777" w:rsidR="007D587C" w:rsidRPr="000F45B4" w:rsidRDefault="007D587C" w:rsidP="007D587C">
      <w:pPr>
        <w:rPr>
          <w:rFonts w:ascii="Times New Roman" w:eastAsia="Calibri" w:hAnsi="Times New Roman" w:cs="Times New Roman"/>
        </w:rPr>
      </w:pPr>
    </w:p>
    <w:p w14:paraId="5E5E167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MARS modell (mozaikszó: </w:t>
      </w:r>
      <w:proofErr w:type="spellStart"/>
      <w:r w:rsidRPr="000F45B4">
        <w:rPr>
          <w:rFonts w:ascii="Times New Roman" w:eastAsia="Calibri" w:hAnsi="Times New Roman" w:cs="Times New Roman"/>
        </w:rPr>
        <w:t>Motivation</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Ability</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Role</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Perception</w:t>
      </w:r>
      <w:proofErr w:type="spellEnd"/>
      <w:r w:rsidRPr="000F45B4">
        <w:rPr>
          <w:rFonts w:ascii="Times New Roman" w:eastAsia="Calibri" w:hAnsi="Times New Roman" w:cs="Times New Roman"/>
        </w:rPr>
        <w:t xml:space="preserve"> és </w:t>
      </w:r>
      <w:proofErr w:type="spellStart"/>
      <w:r w:rsidRPr="000F45B4">
        <w:rPr>
          <w:rFonts w:ascii="Times New Roman" w:eastAsia="Calibri" w:hAnsi="Times New Roman" w:cs="Times New Roman"/>
        </w:rPr>
        <w:t>Situaltional</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factors</w:t>
      </w:r>
      <w:proofErr w:type="spellEnd"/>
      <w:r w:rsidRPr="000F45B4">
        <w:rPr>
          <w:rFonts w:ascii="Times New Roman" w:eastAsia="Calibri" w:hAnsi="Times New Roman" w:cs="Times New Roman"/>
        </w:rPr>
        <w:t xml:space="preserve"> szavak kezdőbetűi) azon az alapfeltételezésen alapul, hogy a munkavállalók viselkedését és teljesítményét a személyes jellemvonásaikon túl a motivációjuk, a képességeik, a szerep-érzékelésük és a szituációs tényezők határozzák meg.  </w:t>
      </w:r>
    </w:p>
    <w:p w14:paraId="5A918084"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b/>
          <w:bCs/>
          <w:i/>
          <w:iCs/>
        </w:rPr>
        <w:t>motiváció</w:t>
      </w:r>
      <w:r w:rsidRPr="000F45B4">
        <w:rPr>
          <w:rFonts w:ascii="Times New Roman" w:eastAsia="Calibri" w:hAnsi="Times New Roman" w:cs="Times New Roman"/>
        </w:rPr>
        <w:t xml:space="preserve"> azokat a belső erőket jelenti, amelyek befolyásolják a viselkedés irányát, intenzitását és tartósságát. Az irány arra utal, hogy a motiváció </w:t>
      </w:r>
      <w:proofErr w:type="spellStart"/>
      <w:r w:rsidRPr="000F45B4">
        <w:rPr>
          <w:rFonts w:ascii="Times New Roman" w:eastAsia="Calibri" w:hAnsi="Times New Roman" w:cs="Times New Roman"/>
        </w:rPr>
        <w:t>célvezérelt</w:t>
      </w:r>
      <w:proofErr w:type="spellEnd"/>
      <w:r w:rsidRPr="000F45B4">
        <w:rPr>
          <w:rFonts w:ascii="Times New Roman" w:eastAsia="Calibri" w:hAnsi="Times New Roman" w:cs="Times New Roman"/>
        </w:rPr>
        <w:t xml:space="preserve">, nem pedig véletlenszerű: az embereknek van választásuk arra vonatkozóan, hogy az erőforrásaikat és energiáikat milyen irányba/milyen cél elérése érdekében használják fel. Az intenzitás a célra fordított erőfeszítés mértékét jelenti, azaz arról szól, hogy az emberek mennyire erőltetik meg magukat egy feladat elvégzése érdekében (például két alkalmazottat motiválhat az, hogy néhány órával korábban befejezze a projektjét (irány), de csak az egyikük tesz elég erőfeszítést (intenzitás) a cél eléréséhez). Végül a motiváció magában foglalja a kitartás különböző szintjeit, vagyis a tartósságot. A munkavállalók addig tartják fenn erőfeszítéseiket, amíg el nem érik a céljukat, vagy a cél elérése előtt feladják. </w:t>
      </w:r>
    </w:p>
    <w:p w14:paraId="1AFC304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alkalmazottak </w:t>
      </w:r>
      <w:r w:rsidRPr="000F45B4">
        <w:rPr>
          <w:rFonts w:ascii="Times New Roman" w:eastAsia="Calibri" w:hAnsi="Times New Roman" w:cs="Times New Roman"/>
          <w:b/>
          <w:bCs/>
          <w:i/>
          <w:iCs/>
        </w:rPr>
        <w:t>képességei</w:t>
      </w:r>
      <w:r w:rsidRPr="000F45B4">
        <w:rPr>
          <w:rFonts w:ascii="Times New Roman" w:eastAsia="Calibri" w:hAnsi="Times New Roman" w:cs="Times New Roman"/>
        </w:rPr>
        <w:t xml:space="preserve"> szintén befolyásolják a viselkedést és a feladatok elvégzését. A képességek magukban foglalják mind a természetes adottságokat (pl. ujjak ügyessége) és a tanult képességeket (pl. matematikai képességek), amelyek egy feladat sikeres és teljes körű elvégzéséhez szükségesek. </w:t>
      </w:r>
    </w:p>
    <w:p w14:paraId="57D4017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b/>
          <w:bCs/>
          <w:i/>
          <w:iCs/>
        </w:rPr>
        <w:t>szerep-érzékelés</w:t>
      </w:r>
      <w:r w:rsidRPr="000F45B4">
        <w:rPr>
          <w:rFonts w:ascii="Times New Roman" w:eastAsia="Calibri" w:hAnsi="Times New Roman" w:cs="Times New Roman"/>
        </w:rPr>
        <w:t xml:space="preserve"> azt jelenti, hogy az emberek mennyire értik a rájuk bízott vagy tőlük elvárt munkaköri feladatokat (szerepeket). Ezek az elképzelések kritikusak, mert ezek irányítják a munkavállaló erőfeszítéseinek irányát, és javítják a munkatársakkal, beszállítókkal és más érdekelt felekkel való kapcsolatokat. </w:t>
      </w:r>
    </w:p>
    <w:p w14:paraId="7B48C928" w14:textId="77777777" w:rsidR="007D587C" w:rsidRPr="000F45B4" w:rsidRDefault="007D587C" w:rsidP="007D587C">
      <w:pPr>
        <w:jc w:val="both"/>
        <w:rPr>
          <w:rFonts w:ascii="Times New Roman" w:eastAsia="Calibri" w:hAnsi="Times New Roman" w:cs="Times New Roman"/>
        </w:rPr>
      </w:pPr>
    </w:p>
    <w:p w14:paraId="3259F3B3" w14:textId="77777777" w:rsidR="007D587C" w:rsidRPr="000F45B4" w:rsidRDefault="007D587C" w:rsidP="007D587C">
      <w:pPr>
        <w:jc w:val="both"/>
        <w:rPr>
          <w:rFonts w:ascii="Times New Roman" w:eastAsia="Calibri" w:hAnsi="Times New Roman" w:cs="Times New Roman"/>
        </w:rPr>
      </w:pPr>
    </w:p>
    <w:p w14:paraId="3FE6F0B8"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szerepfelfogásnak három összetevője van: </w:t>
      </w:r>
    </w:p>
    <w:p w14:paraId="19ADA2C1" w14:textId="77777777" w:rsidR="007D587C" w:rsidRPr="000F45B4" w:rsidRDefault="007D587C" w:rsidP="00445121">
      <w:pPr>
        <w:numPr>
          <w:ilvl w:val="0"/>
          <w:numId w:val="47"/>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Megérteni a rájuk bízott konkrét feladatokat és a következményeket, amelyekért felelősek. </w:t>
      </w:r>
    </w:p>
    <w:p w14:paraId="35498CC6" w14:textId="77777777" w:rsidR="007D587C" w:rsidRPr="000F45B4" w:rsidRDefault="007D587C" w:rsidP="00445121">
      <w:pPr>
        <w:numPr>
          <w:ilvl w:val="0"/>
          <w:numId w:val="47"/>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Tisztában lenni a különböző feladatok és teljesítményelvárások fontosságával. Ez magában foglalja a mennyiség kontra minőség dilemmát, például azt, hogy hány ügyfelet kell kiszolgálni egy óra alatt (mennyiség), szemben azzal, hogy az alkalmazottnak milyen jól kell kiszolgálnia az egyes ügyfeleket (minőség). </w:t>
      </w:r>
    </w:p>
    <w:p w14:paraId="61AA466B" w14:textId="77777777" w:rsidR="007D587C" w:rsidRPr="000F45B4" w:rsidRDefault="007D587C" w:rsidP="00445121">
      <w:pPr>
        <w:numPr>
          <w:ilvl w:val="0"/>
          <w:numId w:val="47"/>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Megérteni a kijelölt feladatok elvégzéséhez szükséges preferált viselkedésmódokat és eljárásokat. </w:t>
      </w:r>
    </w:p>
    <w:p w14:paraId="5C5C6371" w14:textId="77777777" w:rsidR="007D587C" w:rsidRPr="000F45B4" w:rsidRDefault="007D587C" w:rsidP="00E2366A">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b/>
          <w:bCs/>
          <w:i/>
          <w:iCs/>
        </w:rPr>
        <w:t>szituációs tényezők</w:t>
      </w:r>
      <w:r w:rsidRPr="000F45B4">
        <w:rPr>
          <w:rFonts w:ascii="Times New Roman" w:eastAsia="Calibri" w:hAnsi="Times New Roman" w:cs="Times New Roman"/>
        </w:rPr>
        <w:t xml:space="preserve"> közé tartoznak a munkavállaló közvetlen ellenőrzésén kívül eső körülmények, amelyek korlátozzák vagy támogatják a kívánatos viselkedést és a teljesítményelvárásoknak való megfelelést. Egyes szituációs jellemzők (pl. a fogyasztói preferenciák és makrogazdasági feltételek) a külső környezeti feltételekből adódnak, így kívül esnek a munkavállaló és a szervezet ellenőrzésén. Más szituációs tényezők (pl. a költségvetés és a fizikai munkaeszközök) azonban a szervezet irányítása alatt állnak, ezért a vállalati vezetőknek gondosan kell kialakítaniuk ezeket a feltételeket annak érdekében, hogy a munkavállalók kiaknázhassák a bennük rejlő teljesítménypotenciált.</w:t>
      </w:r>
    </w:p>
    <w:p w14:paraId="5F5FC775" w14:textId="77777777" w:rsidR="007D587C" w:rsidRPr="000F45B4" w:rsidRDefault="007D587C" w:rsidP="000F45B4">
      <w:pPr>
        <w:pStyle w:val="Lbjegyzetszveg"/>
        <w:jc w:val="both"/>
        <w:rPr>
          <w:rFonts w:ascii="Times New Roman" w:hAnsi="Times New Roman" w:cs="Times New Roman"/>
          <w:sz w:val="22"/>
          <w:szCs w:val="22"/>
        </w:rPr>
      </w:pPr>
      <w:r w:rsidRPr="000F45B4">
        <w:rPr>
          <w:rFonts w:ascii="Times New Roman" w:eastAsia="Calibri" w:hAnsi="Times New Roman" w:cs="Times New Roman"/>
          <w:sz w:val="22"/>
          <w:szCs w:val="22"/>
        </w:rPr>
        <w:t>A modell megalkotói (</w:t>
      </w:r>
      <w:proofErr w:type="spellStart"/>
      <w:r w:rsidRPr="000F45B4">
        <w:rPr>
          <w:rFonts w:ascii="Times New Roman" w:hAnsi="Times New Roman" w:cs="Times New Roman"/>
          <w:sz w:val="22"/>
          <w:szCs w:val="22"/>
        </w:rPr>
        <w:t>McShane</w:t>
      </w:r>
      <w:proofErr w:type="spellEnd"/>
      <w:r w:rsidRPr="000F45B4">
        <w:rPr>
          <w:rFonts w:ascii="Times New Roman" w:hAnsi="Times New Roman" w:cs="Times New Roman"/>
          <w:sz w:val="22"/>
          <w:szCs w:val="22"/>
        </w:rPr>
        <w:t xml:space="preserve"> &amp; </w:t>
      </w:r>
      <w:proofErr w:type="spellStart"/>
      <w:r w:rsidRPr="000F45B4">
        <w:rPr>
          <w:rFonts w:ascii="Times New Roman" w:hAnsi="Times New Roman" w:cs="Times New Roman"/>
          <w:sz w:val="22"/>
          <w:szCs w:val="22"/>
        </w:rPr>
        <w:t>Glinow</w:t>
      </w:r>
      <w:proofErr w:type="spellEnd"/>
      <w:r w:rsidRPr="000F45B4">
        <w:rPr>
          <w:rFonts w:ascii="Times New Roman" w:hAnsi="Times New Roman" w:cs="Times New Roman"/>
          <w:sz w:val="22"/>
          <w:szCs w:val="22"/>
        </w:rPr>
        <w:t xml:space="preserve">, 2015) </w:t>
      </w:r>
      <w:r w:rsidRPr="000F45B4">
        <w:rPr>
          <w:rFonts w:ascii="Times New Roman" w:eastAsia="Calibri" w:hAnsi="Times New Roman" w:cs="Times New Roman"/>
          <w:sz w:val="22"/>
          <w:szCs w:val="22"/>
        </w:rPr>
        <w:t>szerint, ha bármelyik tényező (motiváció, képesség, szerep-érzékelés, szituációs tényezők) alacsony szintű, a dolgozó teljesítménye is alacsony szintű lesz. Egyetértünk a szerzők azon álláspontjával, hogy e tényezők magas szintje predesztinálja az elvárásoknak megfelelő munkahelyi viselkedést és a magas output-ot, de meglátásunk szerint az alacsony motiváció nem feltétlenül okoz alacsony teljesítményt. Abban az esetben, ha egy munkavállaló kiemelkedő képességekkel rendelkezik, tisztában van a vele szemben támasztott szerep-követelményekkel és megfelelő munkahelyi feltételeket biztosítanak számára, akkor alacsony motiváltsági szintje ellenére is lehet magas a teljesítménye (</w:t>
      </w:r>
      <w:proofErr w:type="spellStart"/>
      <w:r w:rsidRPr="000F45B4">
        <w:rPr>
          <w:rFonts w:ascii="Times New Roman" w:eastAsia="Calibri" w:hAnsi="Times New Roman" w:cs="Times New Roman"/>
          <w:sz w:val="22"/>
          <w:szCs w:val="22"/>
        </w:rPr>
        <w:t>Dailey</w:t>
      </w:r>
      <w:proofErr w:type="spellEnd"/>
      <w:r w:rsidRPr="000F45B4">
        <w:rPr>
          <w:rFonts w:ascii="Times New Roman" w:eastAsia="Calibri" w:hAnsi="Times New Roman" w:cs="Times New Roman"/>
          <w:sz w:val="22"/>
          <w:szCs w:val="22"/>
        </w:rPr>
        <w:t>, 2016).</w:t>
      </w:r>
    </w:p>
    <w:p w14:paraId="7873B26F" w14:textId="77777777" w:rsidR="007D587C" w:rsidRPr="000F45B4" w:rsidRDefault="007D587C" w:rsidP="00E2366A">
      <w:pPr>
        <w:jc w:val="both"/>
        <w:rPr>
          <w:rFonts w:ascii="Times New Roman" w:eastAsia="Calibri" w:hAnsi="Times New Roman" w:cs="Times New Roman"/>
        </w:rPr>
      </w:pPr>
      <w:r w:rsidRPr="000F45B4">
        <w:rPr>
          <w:rFonts w:ascii="Times New Roman" w:eastAsia="Calibri" w:hAnsi="Times New Roman" w:cs="Times New Roman"/>
        </w:rPr>
        <w:t xml:space="preserve">A modell legfontosabb tanulsága, hogy a dolgozói magatartást több tényező befolyásolja, az alacsony teljesítmény hátterében tehát nem feltétlenül az alacsony motiváció áll. Egy motivált dolgozótól hiába várjuk el a magas teljesítményt, ha nem rendelkezik megfelelő képességekkel, nem biztosítjuk számára a munkavégzéshez szükséges feltételeket vagy nem látja világosan a követendő viselkedésmódokat és betartandó eljárásrendeket. Lehetséges tehát, hogy motivációt fokozó intézkedések helyett képzésre/fejlesztésre, </w:t>
      </w:r>
      <w:proofErr w:type="spellStart"/>
      <w:r w:rsidRPr="000F45B4">
        <w:rPr>
          <w:rFonts w:ascii="Times New Roman" w:eastAsia="Calibri" w:hAnsi="Times New Roman" w:cs="Times New Roman"/>
        </w:rPr>
        <w:t>munkafeltétlek</w:t>
      </w:r>
      <w:proofErr w:type="spellEnd"/>
      <w:r w:rsidRPr="000F45B4">
        <w:rPr>
          <w:rFonts w:ascii="Times New Roman" w:eastAsia="Calibri" w:hAnsi="Times New Roman" w:cs="Times New Roman"/>
        </w:rPr>
        <w:t xml:space="preserve"> javítására vagy szerep-elvárások tisztázására van szükség. Motivációval kapcsolatos elméleteket tudni tehát hasznos, de nem feltétlenül oldhatók meg vele a teljesítmény-problémák.</w:t>
      </w:r>
    </w:p>
    <w:p w14:paraId="099151DA"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24" w:name="_Toc145281857"/>
      <w:bookmarkStart w:id="225" w:name="_Toc145281976"/>
      <w:bookmarkStart w:id="226" w:name="_Toc145282378"/>
      <w:bookmarkStart w:id="227" w:name="_Toc145363806"/>
      <w:bookmarkStart w:id="228" w:name="_Toc145363878"/>
      <w:bookmarkStart w:id="229" w:name="_Toc145363934"/>
      <w:bookmarkStart w:id="230" w:name="_Toc145364474"/>
      <w:bookmarkStart w:id="231" w:name="_Toc145281858"/>
      <w:bookmarkStart w:id="232" w:name="_Toc145281977"/>
      <w:bookmarkStart w:id="233" w:name="_Toc145282379"/>
      <w:bookmarkStart w:id="234" w:name="_Toc145363807"/>
      <w:bookmarkStart w:id="235" w:name="_Toc145363879"/>
      <w:bookmarkStart w:id="236" w:name="_Toc145363935"/>
      <w:bookmarkStart w:id="237" w:name="_Toc145364475"/>
      <w:bookmarkStart w:id="238" w:name="_Toc118749522"/>
      <w:bookmarkStart w:id="239" w:name="_Toc14596298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0F45B4">
        <w:rPr>
          <w:rFonts w:ascii="Times New Roman" w:hAnsi="Times New Roman" w:cs="Times New Roman"/>
        </w:rPr>
        <w:t>A motiváció folyamata</w:t>
      </w:r>
      <w:bookmarkEnd w:id="238"/>
      <w:bookmarkEnd w:id="239"/>
    </w:p>
    <w:p w14:paraId="26FDBF89"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motivációs folyamatra és a kapcsolódó alapfogalmakra vonatkozóan nincs konszenzus a szakirodalomban, ezért egy alapmodellből indulunk ki, amelyre felfűzzük a különböző motivációs elméleteket is. </w:t>
      </w:r>
    </w:p>
    <w:p w14:paraId="6FA9AC1B" w14:textId="77777777" w:rsidR="007D587C" w:rsidRPr="000F45B4" w:rsidRDefault="007D587C" w:rsidP="007D587C">
      <w:pPr>
        <w:jc w:val="both"/>
        <w:rPr>
          <w:rFonts w:ascii="Times New Roman" w:eastAsia="Calibri" w:hAnsi="Times New Roman" w:cs="Times New Roman"/>
        </w:rPr>
      </w:pPr>
    </w:p>
    <w:p w14:paraId="5B3C70A2" w14:textId="77777777" w:rsidR="007D587C" w:rsidRPr="000F45B4" w:rsidRDefault="007D587C" w:rsidP="007D587C">
      <w:pPr>
        <w:jc w:val="both"/>
        <w:rPr>
          <w:rFonts w:ascii="Times New Roman" w:eastAsia="Calibri" w:hAnsi="Times New Roman" w:cs="Times New Roman"/>
        </w:rPr>
      </w:pPr>
    </w:p>
    <w:p w14:paraId="38B9D530" w14:textId="77777777" w:rsidR="007D587C" w:rsidRPr="000F45B4" w:rsidRDefault="007D587C" w:rsidP="007D587C">
      <w:pPr>
        <w:jc w:val="both"/>
        <w:rPr>
          <w:rFonts w:ascii="Times New Roman" w:eastAsia="Calibri" w:hAnsi="Times New Roman" w:cs="Times New Roman"/>
        </w:rPr>
      </w:pPr>
    </w:p>
    <w:p w14:paraId="4C346036" w14:textId="77777777" w:rsidR="007D587C" w:rsidRPr="000F45B4" w:rsidRDefault="007D587C" w:rsidP="007D587C">
      <w:pPr>
        <w:jc w:val="both"/>
        <w:rPr>
          <w:rFonts w:ascii="Times New Roman" w:eastAsia="Calibri" w:hAnsi="Times New Roman" w:cs="Times New Roman"/>
        </w:rPr>
      </w:pPr>
    </w:p>
    <w:p w14:paraId="105BE64A" w14:textId="77777777" w:rsidR="007D587C" w:rsidRPr="000F45B4" w:rsidRDefault="007D587C" w:rsidP="007D587C">
      <w:pPr>
        <w:jc w:val="both"/>
        <w:rPr>
          <w:rFonts w:ascii="Times New Roman" w:eastAsia="Calibri" w:hAnsi="Times New Roman" w:cs="Times New Roman"/>
        </w:rPr>
      </w:pPr>
    </w:p>
    <w:p w14:paraId="309E6339" w14:textId="77777777" w:rsidR="007D587C" w:rsidRPr="000F45B4" w:rsidRDefault="007D587C" w:rsidP="007D587C">
      <w:pPr>
        <w:jc w:val="both"/>
        <w:rPr>
          <w:rFonts w:ascii="Times New Roman" w:eastAsia="Calibri" w:hAnsi="Times New Roman" w:cs="Times New Roman"/>
        </w:rPr>
      </w:pPr>
    </w:p>
    <w:p w14:paraId="47516057" w14:textId="77777777" w:rsidR="007D587C" w:rsidRPr="000F45B4" w:rsidRDefault="007D587C" w:rsidP="007D587C">
      <w:pPr>
        <w:jc w:val="both"/>
        <w:rPr>
          <w:rFonts w:ascii="Times New Roman" w:eastAsia="Calibri" w:hAnsi="Times New Roman" w:cs="Times New Roman"/>
        </w:rPr>
      </w:pPr>
    </w:p>
    <w:p w14:paraId="17E9D342" w14:textId="77777777" w:rsidR="007D587C" w:rsidRPr="000F45B4" w:rsidRDefault="007D587C" w:rsidP="007D587C">
      <w:pPr>
        <w:jc w:val="both"/>
        <w:rPr>
          <w:rFonts w:ascii="Times New Roman" w:eastAsia="Calibri" w:hAnsi="Times New Roman" w:cs="Times New Roman"/>
        </w:rPr>
      </w:pPr>
    </w:p>
    <w:p w14:paraId="005A42CD"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01FC3043" wp14:editId="42D4195C">
            <wp:extent cx="2690648" cy="3479287"/>
            <wp:effectExtent l="0" t="0" r="1905" b="635"/>
            <wp:docPr id="1810008263" name="Kép 1810008263" descr="A képen szöveg, képernyőkép, névjegykártya,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3" name="Kép 1810008263" descr="A képen szöveg, képernyőkép, névjegykártya, Betűtípus látható&#10;&#10;Automatikusan generált leírás"/>
                    <pic:cNvPicPr/>
                  </pic:nvPicPr>
                  <pic:blipFill>
                    <a:blip r:embed="rId48"/>
                    <a:stretch>
                      <a:fillRect/>
                    </a:stretch>
                  </pic:blipFill>
                  <pic:spPr>
                    <a:xfrm>
                      <a:off x="0" y="0"/>
                      <a:ext cx="2691622" cy="3480546"/>
                    </a:xfrm>
                    <a:prstGeom prst="rect">
                      <a:avLst/>
                    </a:prstGeom>
                  </pic:spPr>
                </pic:pic>
              </a:graphicData>
            </a:graphic>
          </wp:inline>
        </w:drawing>
      </w:r>
    </w:p>
    <w:p w14:paraId="21C17250" w14:textId="77777777" w:rsidR="007D587C" w:rsidRPr="000F45B4" w:rsidRDefault="007D587C" w:rsidP="007D587C">
      <w:pPr>
        <w:ind w:left="1800"/>
        <w:contextualSpacing/>
        <w:rPr>
          <w:rFonts w:ascii="Times New Roman" w:eastAsia="Calibri" w:hAnsi="Times New Roman" w:cs="Times New Roman"/>
        </w:rPr>
      </w:pPr>
      <w:r w:rsidRPr="000F45B4">
        <w:rPr>
          <w:rFonts w:ascii="Times New Roman" w:eastAsia="Calibri" w:hAnsi="Times New Roman" w:cs="Times New Roman"/>
        </w:rPr>
        <w:t>9. ábra: A motiváció folyamata és a kapcsolódó elméletek</w:t>
      </w:r>
    </w:p>
    <w:p w14:paraId="154B379D" w14:textId="77777777" w:rsidR="007D587C" w:rsidRPr="000F45B4" w:rsidRDefault="007D587C" w:rsidP="007D587C">
      <w:pPr>
        <w:jc w:val="center"/>
        <w:rPr>
          <w:rFonts w:ascii="Times New Roman" w:eastAsia="Calibri" w:hAnsi="Times New Roman" w:cs="Times New Roman"/>
          <w:i/>
          <w:iCs/>
        </w:rPr>
      </w:pPr>
      <w:r w:rsidRPr="000F45B4">
        <w:rPr>
          <w:rFonts w:ascii="Times New Roman" w:eastAsia="Calibri" w:hAnsi="Times New Roman" w:cs="Times New Roman"/>
          <w:i/>
          <w:iCs/>
        </w:rPr>
        <w:t>Forrás: saját ábra, 2022</w:t>
      </w:r>
    </w:p>
    <w:p w14:paraId="01A14E04" w14:textId="77777777" w:rsidR="007D587C" w:rsidRPr="000F45B4" w:rsidRDefault="007D587C" w:rsidP="007D587C">
      <w:pPr>
        <w:rPr>
          <w:rFonts w:ascii="Times New Roman" w:eastAsia="Calibri" w:hAnsi="Times New Roman" w:cs="Times New Roman"/>
        </w:rPr>
      </w:pPr>
    </w:p>
    <w:p w14:paraId="243AA9F9"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motivációs folyamat a szükséglet megjelenésével kezdődik, ez a viselkedés fő mozgatórugója. A szükségletek lehetnek velünk született szükségletek (tipikusan ilyenek a túléléshez kapcsolódó szükségletek, pl. éhség, szomjúság) és tanultak (pl. hatalomgyakorlás, sikerek elérése). Azok a motivációval kapcsolatos elméletek, amelyek az emberi szükségletek feltárásával foglalkoznak, vagyis arra keresik a választ, hogy milyen okok, szükségletek húzódnak meg egy-egy cselekvés hátterében, azok a </w:t>
      </w:r>
      <w:r w:rsidRPr="000F45B4">
        <w:rPr>
          <w:rFonts w:ascii="Times New Roman" w:eastAsia="Calibri" w:hAnsi="Times New Roman" w:cs="Times New Roman"/>
          <w:b/>
          <w:bCs/>
          <w:i/>
          <w:iCs/>
        </w:rPr>
        <w:t>motiváció tartalomelméletei</w:t>
      </w:r>
      <w:r w:rsidRPr="000F45B4">
        <w:rPr>
          <w:rFonts w:ascii="Times New Roman" w:eastAsia="Calibri" w:hAnsi="Times New Roman" w:cs="Times New Roman"/>
        </w:rPr>
        <w:t xml:space="preserve">. A kielégítetlen szükséglet belső feszültséget indukál, de ez a belső feszültség még önmagában nem feltétlenül elég ahhoz, hogy az egyén változtasson a magatartásán. Ahhoz, hogy a szükséglet kielégítésére való törekvés megjelenjen a munkavállaló magatartásában, hajtóerőre, motivációra van szükség. Az olyan motivációs elméletek, amelyek azzal foglalkoznak, hogy milyen folyamat eredményeképpen válik ösztönzővé a szükséglet kielégítése és jelenik meg a dolgozói magatartásban, a </w:t>
      </w:r>
      <w:r w:rsidRPr="000F45B4">
        <w:rPr>
          <w:rFonts w:ascii="Times New Roman" w:eastAsia="Calibri" w:hAnsi="Times New Roman" w:cs="Times New Roman"/>
          <w:b/>
          <w:bCs/>
          <w:i/>
          <w:iCs/>
        </w:rPr>
        <w:t>motiváció folyamatelméletei</w:t>
      </w:r>
      <w:r w:rsidRPr="000F45B4">
        <w:rPr>
          <w:rFonts w:ascii="Times New Roman" w:eastAsia="Calibri" w:hAnsi="Times New Roman" w:cs="Times New Roman"/>
        </w:rPr>
        <w:t xml:space="preserve">. A szükséglet kielégítésére tett erőfeszítés, magatartás következményét pedig két aspektusból vizsgálhatjuk a vezetői reakciók irányából (megerősítés elmélet), a dolgozó elégedettsége/elégedetlensége, önmegvalósítása szempontjából (flow elmélet). </w:t>
      </w:r>
    </w:p>
    <w:p w14:paraId="799789F9"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240" w:name="_Toc145281860"/>
      <w:bookmarkStart w:id="241" w:name="_Toc145281979"/>
      <w:bookmarkStart w:id="242" w:name="_Toc145282381"/>
      <w:bookmarkStart w:id="243" w:name="_Toc145363809"/>
      <w:bookmarkStart w:id="244" w:name="_Toc145363881"/>
      <w:bookmarkStart w:id="245" w:name="_Toc145363937"/>
      <w:bookmarkStart w:id="246" w:name="_Toc145364477"/>
      <w:bookmarkStart w:id="247" w:name="_Toc145281861"/>
      <w:bookmarkStart w:id="248" w:name="_Toc145281980"/>
      <w:bookmarkStart w:id="249" w:name="_Toc145282382"/>
      <w:bookmarkStart w:id="250" w:name="_Toc145363810"/>
      <w:bookmarkStart w:id="251" w:name="_Toc145363882"/>
      <w:bookmarkStart w:id="252" w:name="_Toc145363938"/>
      <w:bookmarkStart w:id="253" w:name="_Toc145364478"/>
      <w:bookmarkStart w:id="254" w:name="_Toc118749523"/>
      <w:bookmarkStart w:id="255" w:name="_Toc145962983"/>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0F45B4">
        <w:rPr>
          <w:rFonts w:ascii="Times New Roman" w:hAnsi="Times New Roman" w:cs="Times New Roman"/>
        </w:rPr>
        <w:t>A motiváció tartalomelméletei</w:t>
      </w:r>
      <w:bookmarkEnd w:id="254"/>
      <w:bookmarkEnd w:id="255"/>
    </w:p>
    <w:p w14:paraId="45951CF7"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tartalomelméletek tehát megpróbálják feltárni a cselekedetek mögött meghúzódó indítékokat, szükségleteket. A szükségleteket csak a megfigyelhető viselkedésen keresztül tudjuk azonosítani, de ebben jelentős egyéni különbségek lehetnek. Nem minden </w:t>
      </w:r>
      <w:proofErr w:type="spellStart"/>
      <w:r w:rsidRPr="000F45B4">
        <w:rPr>
          <w:rFonts w:ascii="Times New Roman" w:eastAsia="Calibri" w:hAnsi="Times New Roman" w:cs="Times New Roman"/>
        </w:rPr>
        <w:t>cseleked</w:t>
      </w:r>
      <w:proofErr w:type="spellEnd"/>
      <w:r w:rsidRPr="000F45B4">
        <w:rPr>
          <w:rFonts w:ascii="Times New Roman" w:eastAsia="Calibri" w:hAnsi="Times New Roman" w:cs="Times New Roman"/>
        </w:rPr>
        <w:t xml:space="preserve"> mögött tudjuk egyértelműen megállapítani a kapcsolódó szükségletet (sokszor talán saját magunk számára sem világos, hogy mit miért teszünk), de előfordulhat az is, hogy ugyanazt a viselkedést két embernél teljesen más szükséglet kielégítése motiválja. </w:t>
      </w:r>
    </w:p>
    <w:p w14:paraId="0485096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motiváció tartalomelméleteinek körébe </w:t>
      </w:r>
      <w:proofErr w:type="spellStart"/>
      <w:r w:rsidRPr="000F45B4">
        <w:rPr>
          <w:rFonts w:ascii="Times New Roman" w:eastAsia="Calibri" w:hAnsi="Times New Roman" w:cs="Times New Roman"/>
        </w:rPr>
        <w:t>Maslow</w:t>
      </w:r>
      <w:proofErr w:type="spellEnd"/>
      <w:r w:rsidRPr="000F45B4">
        <w:rPr>
          <w:rFonts w:ascii="Times New Roman" w:eastAsia="Calibri" w:hAnsi="Times New Roman" w:cs="Times New Roman"/>
        </w:rPr>
        <w:t xml:space="preserve">-féle szükségletpiramis, Frederick Herzberg kéttényezős elmélete, </w:t>
      </w:r>
      <w:proofErr w:type="spellStart"/>
      <w:r w:rsidRPr="000F45B4">
        <w:rPr>
          <w:rFonts w:ascii="Times New Roman" w:eastAsia="Calibri" w:hAnsi="Times New Roman" w:cs="Times New Roman"/>
        </w:rPr>
        <w:t>McClelland</w:t>
      </w:r>
      <w:proofErr w:type="spellEnd"/>
      <w:r w:rsidRPr="000F45B4">
        <w:rPr>
          <w:rFonts w:ascii="Times New Roman" w:eastAsia="Calibri" w:hAnsi="Times New Roman" w:cs="Times New Roman"/>
        </w:rPr>
        <w:t xml:space="preserve"> kapcsolat-teljesítmény-hatalom elmélete, Ryan és Deci </w:t>
      </w:r>
      <w:r w:rsidRPr="000F45B4">
        <w:rPr>
          <w:rFonts w:ascii="Times New Roman" w:eastAsia="Calibri" w:hAnsi="Times New Roman" w:cs="Times New Roman"/>
        </w:rPr>
        <w:lastRenderedPageBreak/>
        <w:t xml:space="preserve">öndeterminációs elmélete, Lawrence és </w:t>
      </w:r>
      <w:proofErr w:type="spellStart"/>
      <w:r w:rsidRPr="000F45B4">
        <w:rPr>
          <w:rFonts w:ascii="Times New Roman" w:eastAsia="Calibri" w:hAnsi="Times New Roman" w:cs="Times New Roman"/>
        </w:rPr>
        <w:t>Lohrina</w:t>
      </w:r>
      <w:proofErr w:type="spellEnd"/>
      <w:r w:rsidRPr="000F45B4">
        <w:rPr>
          <w:rFonts w:ascii="Times New Roman" w:eastAsia="Calibri" w:hAnsi="Times New Roman" w:cs="Times New Roman"/>
        </w:rPr>
        <w:t xml:space="preserve"> négy-hajtóerő elmélete és Daniel Pink Motiváció 3.0 elmélete tartozik.</w:t>
      </w:r>
    </w:p>
    <w:p w14:paraId="7EC737F7"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56" w:name="_Toc118749524"/>
      <w:bookmarkStart w:id="257" w:name="_Toc145962984"/>
      <w:r w:rsidRPr="000F45B4">
        <w:rPr>
          <w:rFonts w:ascii="Times New Roman" w:hAnsi="Times New Roman" w:cs="Times New Roman"/>
        </w:rPr>
        <w:t>Kapcsolat-teljesítmény-hatalom elmélet</w:t>
      </w:r>
      <w:bookmarkEnd w:id="256"/>
      <w:bookmarkEnd w:id="257"/>
    </w:p>
    <w:p w14:paraId="3BBB06BA"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rPr>
        <w:t>McClelland</w:t>
      </w:r>
      <w:proofErr w:type="spellEnd"/>
      <w:r w:rsidRPr="000F45B4">
        <w:rPr>
          <w:rFonts w:ascii="Times New Roman" w:eastAsia="Calibri" w:hAnsi="Times New Roman" w:cs="Times New Roman"/>
        </w:rPr>
        <w:t xml:space="preserve"> (1961) kapcsolat-teljesítmény-hatalom elméletét sok szakirodalom egyszerűen a „tanult szükségletek” elméletének nevezi, ugyanis a kapcsolódás iránti igény, a teljesítmény-vágy és a mások befolyásolásának (hatolom) szükséglete is tanult, nem pedig velünk született szükségletek. </w:t>
      </w:r>
      <w:proofErr w:type="spellStart"/>
      <w:r w:rsidRPr="000F45B4">
        <w:rPr>
          <w:rFonts w:ascii="Times New Roman" w:eastAsia="Calibri" w:hAnsi="Times New Roman" w:cs="Times New Roman"/>
        </w:rPr>
        <w:t>McClelland</w:t>
      </w:r>
      <w:proofErr w:type="spellEnd"/>
      <w:r w:rsidRPr="000F45B4">
        <w:rPr>
          <w:rFonts w:ascii="Times New Roman" w:eastAsia="Calibri" w:hAnsi="Times New Roman" w:cs="Times New Roman"/>
        </w:rPr>
        <w:t xml:space="preserve"> úgy véli, hogy a cselekedetek mozgatórugóinak hátterében e három, mindenkiben meglévő, de eltérő dominanciájú tanult szükséglet kielégítése áll. A teljesítménymotívum sikerek elérésére, mások teljesítményének meghaladására és a kitűzött célok elérésére vonatkozó késztetés. A kapcsolatmotívum a másokhoz való kapcsolódás, a mások által való elfogadás iránti igényből fakad. A hatalommotívum mások befolyásolásának vágyára vonatkozik. </w:t>
      </w:r>
    </w:p>
    <w:p w14:paraId="10FDDB20"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magas teljesítménymotívumú munkavállók keresik a kihívást jelentő, de teljesíthető célokat, egyértelmű visszajelzésre és elismerésre vágynak és szeretnek együl dolgozni. Kedvelik az olyan feladatokat, amelyek esetében szükség van a problémamegoldó képességükre és a kreativitásukra. Megfelelő feltételek teljesülése esetén valószínűleg az átlagot meghaladó eredményeket érnek el, azonban nem minden munkafeladat ellátására alkalmasak, ugyanis nehezen tudnak a munkatársaikkal együttműködni. Esetükben a pénz gyenge motiváló tényező, míg az alacsony teljesítménymotívumú dolgozókat anyagi ösztönzőkkel jól lehet motiválni. </w:t>
      </w:r>
    </w:p>
    <w:p w14:paraId="75CC0E0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magas kapcsolatmotívummal rendelkező dolgozók igyekeznek kedvező képet festeni magukról, aktívan támogatnak másokat és igyekeznek elsimítani a munkahelyi konfliktusokat. Az ilyen munkavállalók jól funkcionálnak </w:t>
      </w:r>
      <w:proofErr w:type="spellStart"/>
      <w:r w:rsidRPr="000F45B4">
        <w:rPr>
          <w:rFonts w:ascii="Times New Roman" w:eastAsia="Calibri" w:hAnsi="Times New Roman" w:cs="Times New Roman"/>
        </w:rPr>
        <w:t>sales</w:t>
      </w:r>
      <w:proofErr w:type="spellEnd"/>
      <w:r w:rsidRPr="000F45B4">
        <w:rPr>
          <w:rFonts w:ascii="Times New Roman" w:eastAsia="Calibri" w:hAnsi="Times New Roman" w:cs="Times New Roman"/>
        </w:rPr>
        <w:t xml:space="preserve"> területen (különösen az olyan értékesítési pozíciókban, amelyekben fontos hosszú távú is ápolni a kapcsolatokat), kevésbe eredményesek azonban az olyan munkakörökben, ahol konfliktust generáló döntéseket kell meghozni. </w:t>
      </w:r>
    </w:p>
    <w:p w14:paraId="3042ED3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magas hatalommotívumú szervezeti tagok kedvelik a versengő, konfrontáló helyzeteket, meggyűző a kommunikációjuk és szívesen szólnak hozzá a megbeszéléseken és nyilatkoznak nyilvánosan is. Az ilyen dolgozóknak fontos a státusz és az elismertség, számukra fontosabb a mások fölötti befolyás, mint a teljesítmény. </w:t>
      </w:r>
      <w:proofErr w:type="spellStart"/>
      <w:r w:rsidRPr="000F45B4">
        <w:rPr>
          <w:rFonts w:ascii="Times New Roman" w:eastAsia="Calibri" w:hAnsi="Times New Roman" w:cs="Times New Roman"/>
        </w:rPr>
        <w:t>McClelland</w:t>
      </w:r>
      <w:proofErr w:type="spellEnd"/>
      <w:r w:rsidRPr="000F45B4">
        <w:rPr>
          <w:rFonts w:ascii="Times New Roman" w:eastAsia="Calibri" w:hAnsi="Times New Roman" w:cs="Times New Roman"/>
        </w:rPr>
        <w:t xml:space="preserve"> a hatalommotívum két formáját különböztette meg: a jó (szocializált) és a rossz (személyre fokuszáló) hatalom iránti vágyat. A szocializált hatalom iránti vágy mások megsegítésének vágyából ered – azért vágynak a hatalomra, hogy azáltal tudjanak felemelni másokat. Akikben a személyre fókuszáló hatalommotívum erős, ők a hatalmukat személyes érdekeik érvényesítésére használják és a hatalmukat státuszszimbólumként viselik. A kutatások azt bizonyítják, hogy az eredményes vezetőknek magas a szocializált hatalommotívumuk. </w:t>
      </w:r>
    </w:p>
    <w:p w14:paraId="1294677A" w14:textId="77777777" w:rsidR="007D587C" w:rsidRPr="000F45B4" w:rsidRDefault="007D587C" w:rsidP="007D587C">
      <w:pPr>
        <w:jc w:val="both"/>
        <w:rPr>
          <w:rFonts w:ascii="Times New Roman" w:eastAsia="Calibri" w:hAnsi="Times New Roman" w:cs="Times New Roman"/>
        </w:rPr>
      </w:pPr>
    </w:p>
    <w:p w14:paraId="625261C6" w14:textId="77777777" w:rsidR="007D587C" w:rsidRPr="000F45B4" w:rsidRDefault="007D587C" w:rsidP="007D587C">
      <w:pPr>
        <w:jc w:val="center"/>
        <w:rPr>
          <w:rFonts w:ascii="Times New Roman" w:eastAsia="Calibri" w:hAnsi="Times New Roman" w:cs="Times New Roman"/>
          <w:b/>
          <w:bCs/>
          <w:color w:val="000000"/>
        </w:rPr>
      </w:pPr>
      <w:r w:rsidRPr="000F45B4">
        <w:rPr>
          <w:rFonts w:ascii="Times New Roman" w:eastAsia="Calibri" w:hAnsi="Times New Roman" w:cs="Times New Roman"/>
          <w:b/>
          <w:bCs/>
          <w:color w:val="000000"/>
        </w:rPr>
        <w:t>Menedzseri tanulság</w:t>
      </w:r>
    </w:p>
    <w:p w14:paraId="0D7DDA73"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Vezetői szempontból az elmélet azért lehet fontos, mert a dolgozók ilyen motivációinak felismerése az eredményességet és a hatékonyságot lényegesen befolyásoló feladat-megosztásra nyújt lehetőséget.</w:t>
      </w:r>
    </w:p>
    <w:p w14:paraId="3032285F" w14:textId="77777777" w:rsidR="007D587C" w:rsidRPr="000F45B4" w:rsidRDefault="007D587C" w:rsidP="007D587C">
      <w:pPr>
        <w:jc w:val="center"/>
        <w:rPr>
          <w:rFonts w:ascii="Times New Roman" w:eastAsia="Calibri" w:hAnsi="Times New Roman" w:cs="Times New Roman"/>
          <w:color w:val="000000"/>
        </w:rPr>
      </w:pPr>
      <w:r w:rsidRPr="000F45B4">
        <w:rPr>
          <w:rFonts w:ascii="Times New Roman" w:eastAsia="Calibri" w:hAnsi="Times New Roman" w:cs="Times New Roman"/>
          <w:noProof/>
          <w:color w:val="000000"/>
        </w:rPr>
        <w:lastRenderedPageBreak/>
        <w:drawing>
          <wp:inline distT="0" distB="0" distL="0" distR="0" wp14:anchorId="5DDDBFE8" wp14:editId="1F17FDD3">
            <wp:extent cx="4698125" cy="1914957"/>
            <wp:effectExtent l="0" t="0" r="1270" b="3175"/>
            <wp:docPr id="1810008264" name="Kép 1810008264" descr="A képen szöveg, képernyőkép, Betűtípus, dokumen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4" name="Kép 1810008264" descr="A képen szöveg, képernyőkép, Betűtípus, dokumentum látható&#10;&#10;Automatikusan generált leírás"/>
                    <pic:cNvPicPr/>
                  </pic:nvPicPr>
                  <pic:blipFill>
                    <a:blip r:embed="rId49"/>
                    <a:stretch>
                      <a:fillRect/>
                    </a:stretch>
                  </pic:blipFill>
                  <pic:spPr>
                    <a:xfrm>
                      <a:off x="0" y="0"/>
                      <a:ext cx="4698456" cy="1915092"/>
                    </a:xfrm>
                    <a:prstGeom prst="rect">
                      <a:avLst/>
                    </a:prstGeom>
                  </pic:spPr>
                </pic:pic>
              </a:graphicData>
            </a:graphic>
          </wp:inline>
        </w:drawing>
      </w:r>
    </w:p>
    <w:p w14:paraId="0F43A001" w14:textId="77777777" w:rsidR="007D587C" w:rsidRPr="000F45B4" w:rsidRDefault="007D587C" w:rsidP="007D587C">
      <w:pPr>
        <w:jc w:val="center"/>
        <w:rPr>
          <w:rFonts w:ascii="Times New Roman" w:eastAsia="Calibri" w:hAnsi="Times New Roman" w:cs="Times New Roman"/>
          <w:color w:val="000000"/>
        </w:rPr>
      </w:pPr>
      <w:r w:rsidRPr="000F45B4">
        <w:rPr>
          <w:rFonts w:ascii="Times New Roman" w:eastAsia="Calibri" w:hAnsi="Times New Roman" w:cs="Times New Roman"/>
          <w:color w:val="000000"/>
        </w:rPr>
        <w:t>3. táblázat: Beosztottak motiválása a domináns motívum szerint</w:t>
      </w:r>
    </w:p>
    <w:p w14:paraId="305DF186" w14:textId="77777777" w:rsidR="007D587C" w:rsidRPr="000F45B4" w:rsidRDefault="007D587C" w:rsidP="007D587C">
      <w:pPr>
        <w:jc w:val="center"/>
        <w:rPr>
          <w:rFonts w:ascii="Times New Roman" w:eastAsia="Calibri" w:hAnsi="Times New Roman" w:cs="Times New Roman"/>
          <w:i/>
          <w:iCs/>
        </w:rPr>
      </w:pPr>
      <w:r w:rsidRPr="000F45B4">
        <w:rPr>
          <w:rFonts w:ascii="Times New Roman" w:eastAsia="Calibri" w:hAnsi="Times New Roman" w:cs="Times New Roman"/>
          <w:i/>
          <w:iCs/>
          <w:color w:val="000000"/>
        </w:rPr>
        <w:t>Forrás: saját táblázat, 2022</w:t>
      </w:r>
    </w:p>
    <w:p w14:paraId="1F076D23"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color w:val="1F3763"/>
        </w:rPr>
      </w:pPr>
      <w:bookmarkStart w:id="258" w:name="_Toc118749525"/>
      <w:bookmarkStart w:id="259" w:name="_Toc145962985"/>
      <w:r w:rsidRPr="000F45B4">
        <w:rPr>
          <w:rFonts w:ascii="Times New Roman" w:hAnsi="Times New Roman" w:cs="Times New Roman"/>
        </w:rPr>
        <w:t>Öndeterminációs elmélet</w:t>
      </w:r>
      <w:bookmarkEnd w:id="258"/>
      <w:bookmarkEnd w:id="259"/>
      <w:r w:rsidRPr="000F45B4">
        <w:rPr>
          <w:rFonts w:ascii="Times New Roman" w:hAnsi="Times New Roman" w:cs="Times New Roman"/>
        </w:rPr>
        <w:t xml:space="preserve"> </w:t>
      </w:r>
    </w:p>
    <w:p w14:paraId="7AF287D1"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Az öndeterminációs elmélet Ryan és Deci (2000) nevéhez köthető. Az elmélet abból indul ki, hogy az egyén belső motiváltsága a következő három alapvető szükséglet kielégítésére törekvés révén alakul ki és fejlődik:</w:t>
      </w:r>
    </w:p>
    <w:p w14:paraId="45514E4B"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kötődés: másokkal való szereteten, támogatáson és tiszteleten alapuló viszony,</w:t>
      </w:r>
    </w:p>
    <w:p w14:paraId="5B356657"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kompetencia: annak igénye, hogy magunkat hatékonynak és eredményesnek tapasztaljuk meg,</w:t>
      </w:r>
    </w:p>
    <w:p w14:paraId="2AA4024E"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autonómia: szabadon, saját elhatározásainkat követve cselekedhessünk.</w:t>
      </w:r>
    </w:p>
    <w:p w14:paraId="70F936F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elmélet egy motivációs kontinuumon keresztül mutatja be e szükségletek kielégítésének fokozatait (4. táblázat), amely az </w:t>
      </w:r>
      <w:proofErr w:type="spellStart"/>
      <w:r w:rsidRPr="000F45B4">
        <w:rPr>
          <w:rFonts w:ascii="Times New Roman" w:eastAsia="Calibri" w:hAnsi="Times New Roman" w:cs="Times New Roman"/>
        </w:rPr>
        <w:t>amotivációból</w:t>
      </w:r>
      <w:proofErr w:type="spellEnd"/>
      <w:r w:rsidRPr="000F45B4">
        <w:rPr>
          <w:rFonts w:ascii="Times New Roman" w:eastAsia="Calibri" w:hAnsi="Times New Roman" w:cs="Times New Roman"/>
        </w:rPr>
        <w:t xml:space="preserve"> – azaz a motiválatlanságból – indul ki és a külső motiváció négy szintjén keresztül jut el az öndeterminációig, vagyis a belső motiváltság állapotáig.</w:t>
      </w:r>
    </w:p>
    <w:p w14:paraId="23BF5AC8" w14:textId="77777777" w:rsidR="007D587C" w:rsidRPr="000F45B4" w:rsidRDefault="007D587C" w:rsidP="007D587C">
      <w:pPr>
        <w:contextualSpacing/>
        <w:rPr>
          <w:rFonts w:ascii="Times New Roman" w:eastAsia="Calibri" w:hAnsi="Times New Roman" w:cs="Times New Roman"/>
          <w:iCs/>
        </w:rPr>
      </w:pPr>
    </w:p>
    <w:p w14:paraId="7F0A8072" w14:textId="77777777" w:rsidR="007D587C" w:rsidRPr="000F45B4" w:rsidRDefault="007D587C" w:rsidP="007D587C">
      <w:pPr>
        <w:contextualSpacing/>
        <w:rPr>
          <w:rFonts w:ascii="Times New Roman" w:eastAsia="Calibri" w:hAnsi="Times New Roman" w:cs="Times New Roman"/>
          <w:iCs/>
        </w:rPr>
      </w:pPr>
      <w:r w:rsidRPr="000F45B4">
        <w:rPr>
          <w:rFonts w:ascii="Times New Roman" w:eastAsia="Calibri" w:hAnsi="Times New Roman" w:cs="Times New Roman"/>
          <w:iCs/>
          <w:noProof/>
        </w:rPr>
        <w:lastRenderedPageBreak/>
        <w:drawing>
          <wp:inline distT="0" distB="0" distL="0" distR="0" wp14:anchorId="7671599F" wp14:editId="75881E06">
            <wp:extent cx="5602014" cy="4901917"/>
            <wp:effectExtent l="0" t="0" r="0" b="635"/>
            <wp:docPr id="1810008265" name="Kép 1810008265" descr="A képen szöveg, képernyőkép, szám,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5" name="Kép 1810008265" descr="A képen szöveg, képernyőkép, szám, Betűtípus látható&#10;&#10;Automatikusan generált leírás"/>
                    <pic:cNvPicPr/>
                  </pic:nvPicPr>
                  <pic:blipFill>
                    <a:blip r:embed="rId50"/>
                    <a:stretch>
                      <a:fillRect/>
                    </a:stretch>
                  </pic:blipFill>
                  <pic:spPr>
                    <a:xfrm>
                      <a:off x="0" y="0"/>
                      <a:ext cx="5602014" cy="4901917"/>
                    </a:xfrm>
                    <a:prstGeom prst="rect">
                      <a:avLst/>
                    </a:prstGeom>
                  </pic:spPr>
                </pic:pic>
              </a:graphicData>
            </a:graphic>
          </wp:inline>
        </w:drawing>
      </w:r>
    </w:p>
    <w:p w14:paraId="50EE94CB" w14:textId="77777777" w:rsidR="007D587C" w:rsidRPr="000F45B4" w:rsidRDefault="007D587C" w:rsidP="007D587C">
      <w:pPr>
        <w:ind w:left="2160"/>
        <w:contextualSpacing/>
        <w:rPr>
          <w:rFonts w:ascii="Times New Roman" w:eastAsia="Calibri" w:hAnsi="Times New Roman" w:cs="Times New Roman"/>
          <w:iCs/>
        </w:rPr>
      </w:pPr>
      <w:r w:rsidRPr="000F45B4">
        <w:rPr>
          <w:rFonts w:ascii="Times New Roman" w:eastAsia="Calibri" w:hAnsi="Times New Roman" w:cs="Times New Roman"/>
          <w:iCs/>
        </w:rPr>
        <w:t>4. táblázat: Az öndetermináció elmélet</w:t>
      </w:r>
    </w:p>
    <w:p w14:paraId="6BCF017E" w14:textId="77777777" w:rsidR="007D587C" w:rsidRPr="000F45B4" w:rsidRDefault="007D587C" w:rsidP="007D587C">
      <w:pPr>
        <w:jc w:val="center"/>
        <w:rPr>
          <w:rFonts w:ascii="Times New Roman" w:eastAsia="Calibri" w:hAnsi="Times New Roman" w:cs="Times New Roman"/>
          <w:i/>
        </w:rPr>
      </w:pPr>
      <w:r w:rsidRPr="000F45B4">
        <w:rPr>
          <w:rFonts w:ascii="Times New Roman" w:eastAsia="Calibri" w:hAnsi="Times New Roman" w:cs="Times New Roman"/>
          <w:i/>
        </w:rPr>
        <w:t>Forrás: Kozák, 2020</w:t>
      </w:r>
    </w:p>
    <w:p w14:paraId="7F791F21" w14:textId="77777777" w:rsidR="007D587C" w:rsidRPr="000F45B4" w:rsidRDefault="007D587C" w:rsidP="007D587C">
      <w:pPr>
        <w:jc w:val="center"/>
        <w:rPr>
          <w:rFonts w:ascii="Times New Roman" w:eastAsia="Calibri" w:hAnsi="Times New Roman" w:cs="Times New Roman"/>
        </w:rPr>
      </w:pPr>
    </w:p>
    <w:p w14:paraId="64AC2574"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w:t>
      </w:r>
      <w:proofErr w:type="spellStart"/>
      <w:r w:rsidRPr="000F45B4">
        <w:rPr>
          <w:rFonts w:ascii="Times New Roman" w:eastAsia="Calibri" w:hAnsi="Times New Roman" w:cs="Times New Roman"/>
        </w:rPr>
        <w:t>amotiváció</w:t>
      </w:r>
      <w:proofErr w:type="spellEnd"/>
      <w:r w:rsidRPr="000F45B4">
        <w:rPr>
          <w:rFonts w:ascii="Times New Roman" w:eastAsia="Calibri" w:hAnsi="Times New Roman" w:cs="Times New Roman"/>
        </w:rPr>
        <w:t xml:space="preserve"> inaktív, passzív viselkedés formájában jelentkezik. Ennek oka lehet, ha a dolgozó kompetenciakészlete nem elégséges az adott feladat(ok) elvégzéséhez, nem megfelelőek a szervezeti- és/vagy munkakörülmények, de adódhat az egyén </w:t>
      </w:r>
      <w:proofErr w:type="spellStart"/>
      <w:r w:rsidRPr="000F45B4">
        <w:rPr>
          <w:rFonts w:ascii="Times New Roman" w:eastAsia="Calibri" w:hAnsi="Times New Roman" w:cs="Times New Roman"/>
        </w:rPr>
        <w:t>személyiségbeli</w:t>
      </w:r>
      <w:proofErr w:type="spellEnd"/>
      <w:r w:rsidRPr="000F45B4">
        <w:rPr>
          <w:rFonts w:ascii="Times New Roman" w:eastAsia="Calibri" w:hAnsi="Times New Roman" w:cs="Times New Roman"/>
        </w:rPr>
        <w:t xml:space="preserve"> sajátosságaiból is. </w:t>
      </w:r>
    </w:p>
    <w:p w14:paraId="3B25C5B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külső motivációnak négy szintje </w:t>
      </w:r>
      <w:proofErr w:type="spellStart"/>
      <w:r w:rsidRPr="000F45B4">
        <w:rPr>
          <w:rFonts w:ascii="Times New Roman" w:eastAsia="Calibri" w:hAnsi="Times New Roman" w:cs="Times New Roman"/>
        </w:rPr>
        <w:t>különböztethető</w:t>
      </w:r>
      <w:proofErr w:type="spellEnd"/>
      <w:r w:rsidRPr="000F45B4">
        <w:rPr>
          <w:rFonts w:ascii="Times New Roman" w:eastAsia="Calibri" w:hAnsi="Times New Roman" w:cs="Times New Roman"/>
        </w:rPr>
        <w:t xml:space="preserve"> meg, ezek a külső-, a bevetített-, az azonosult- és az integrált szabályozás. Külső szabályozás esetén a munkavállaló kizárólag külső nyomás hatására végzi a munkáját, ez lehet fizetés, jutalmazás (pl. bónusz, </w:t>
      </w:r>
      <w:proofErr w:type="gramStart"/>
      <w:r w:rsidRPr="000F45B4">
        <w:rPr>
          <w:rFonts w:ascii="Times New Roman" w:eastAsia="Calibri" w:hAnsi="Times New Roman" w:cs="Times New Roman"/>
        </w:rPr>
        <w:t>pénzjutalom,</w:t>
      </w:r>
      <w:proofErr w:type="gramEnd"/>
      <w:r w:rsidRPr="000F45B4">
        <w:rPr>
          <w:rFonts w:ascii="Times New Roman" w:eastAsia="Calibri" w:hAnsi="Times New Roman" w:cs="Times New Roman"/>
        </w:rPr>
        <w:t xml:space="preserve"> stb.), juttatás (pl. céges autó vagy külföldi kiküldetés napidíjjal, stb.), de a büntetések elkerülése is állhat a háttérben (pl. bónuszmegvonás, vagy más, alacsonyabb fizetéssel és juttatásokkal járó munkakörbe való átsorolás, stb.). A külső szabályozás tehát azt jelenti, hogy a dolgozó csupán a külső ráhatások, illetve körülmények miatt végzi a feladatait, így abban az esetben, ha a számára kedvező – valamint büntetés esetén a kedvezőtlen – körülmények megszűnnek, vagy a jutalmazás megszokottá válik, az egyén könnyen motiválatlanná válhat. A bevetített szabályozásnál már bevonódott a „</w:t>
      </w:r>
      <w:proofErr w:type="spellStart"/>
      <w:r w:rsidRPr="000F45B4">
        <w:rPr>
          <w:rFonts w:ascii="Times New Roman" w:eastAsia="Calibri" w:hAnsi="Times New Roman" w:cs="Times New Roman"/>
        </w:rPr>
        <w:t>self</w:t>
      </w:r>
      <w:proofErr w:type="spellEnd"/>
      <w:r w:rsidRPr="000F45B4">
        <w:rPr>
          <w:rFonts w:ascii="Times New Roman" w:eastAsia="Calibri" w:hAnsi="Times New Roman" w:cs="Times New Roman"/>
        </w:rPr>
        <w:t xml:space="preserve">”, a dolgozó saját maga számára fogalmazott meg elvárásokat (pl. sikerek elérése a szakmában), s amennyiben azok nem teljesülnének, az rossz érzéssel töltené el – a cselekvést az ebből adódó belső nyomás indukálja. Az azonosult szabályozás hasznosság-alapú és már tudatos aktivitást jelent, ennek fókuszában ugyancsak a célok elérése dominál (pl. a munkavállaló meg akarja valósítani karriercéljait, egy bizonyos megtapasztalt életstílust szeretne elérni/fenntartani). Az integrált szabályozásnál az egyén azonosult a munkájával, a cselekvés a belső értékek alapján történik, az adott munka elvégzése tehát alapvető részévé vált a dolgozó életének. </w:t>
      </w:r>
    </w:p>
    <w:p w14:paraId="331E802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lastRenderedPageBreak/>
        <w:t>A belső motiváció, vagyis az öndeterminált állapot esetében a munka az örömszerzés egyik forrása és belső megelégedettséggel tölti el az egyént. A munkavállalót ebben az állapotában a kíváncsiság és a kihívás vezérli.</w:t>
      </w:r>
    </w:p>
    <w:p w14:paraId="34282CDE" w14:textId="77777777" w:rsidR="007D587C" w:rsidRPr="000F45B4" w:rsidRDefault="007D587C" w:rsidP="007D587C">
      <w:pPr>
        <w:jc w:val="both"/>
        <w:rPr>
          <w:rFonts w:ascii="Times New Roman" w:eastAsia="Calibri" w:hAnsi="Times New Roman" w:cs="Times New Roman"/>
        </w:rPr>
      </w:pPr>
    </w:p>
    <w:p w14:paraId="044E176B"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42E52462"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rPr>
        <w:t>Fowler</w:t>
      </w:r>
      <w:proofErr w:type="spellEnd"/>
      <w:r w:rsidRPr="000F45B4">
        <w:rPr>
          <w:rFonts w:ascii="Times New Roman" w:eastAsia="Calibri" w:hAnsi="Times New Roman" w:cs="Times New Roman"/>
        </w:rPr>
        <w:t xml:space="preserve"> (2018) azt javasolja a szervezeteknek, hogy a vezetők ismerjék meg az alapvető pszichológiai szükségletek erősítését és gyengülését befolyásoló tényezőket, kapjanak képzést az öndeterminációs elmélet gyakorlati vonatkozásaival kapcsolatban, valamint az erre vonatkozó vezetői képességeket építsék be a vezetői kompetenciamodellbe. A kutató ennek érdekében meghatározza a kötődés, a kompetencia és az autonómia erősítésének kompetenciáit és gyakorlati tanácsokat is ad a szervezetek/vezetők számára. </w:t>
      </w:r>
    </w:p>
    <w:p w14:paraId="6BB1AC80" w14:textId="77777777" w:rsidR="007D587C" w:rsidRPr="000F45B4" w:rsidRDefault="007D587C" w:rsidP="007D587C">
      <w:pPr>
        <w:jc w:val="both"/>
        <w:rPr>
          <w:rFonts w:ascii="Times New Roman" w:eastAsia="Calibri" w:hAnsi="Times New Roman" w:cs="Times New Roman"/>
          <w:i/>
          <w:iCs/>
        </w:rPr>
      </w:pPr>
      <w:r w:rsidRPr="000F45B4">
        <w:rPr>
          <w:rFonts w:ascii="Times New Roman" w:eastAsia="Calibri" w:hAnsi="Times New Roman" w:cs="Times New Roman"/>
          <w:i/>
          <w:iCs/>
        </w:rPr>
        <w:t>A kötődés elmélyítésének kompetenciája:</w:t>
      </w:r>
    </w:p>
    <w:p w14:paraId="1A338FBB" w14:textId="77777777" w:rsidR="007D587C" w:rsidRPr="000F45B4" w:rsidRDefault="007D587C" w:rsidP="00445121">
      <w:pPr>
        <w:numPr>
          <w:ilvl w:val="0"/>
          <w:numId w:val="50"/>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empátiát és törődést kell tanúsítaniuk azáltal, hogy meghallgatják, elismerik és elfogadják a negatív érzelmek kifejezését;</w:t>
      </w:r>
    </w:p>
    <w:p w14:paraId="471DBBB2" w14:textId="77777777" w:rsidR="007D587C" w:rsidRPr="000F45B4" w:rsidRDefault="007D587C" w:rsidP="00445121">
      <w:pPr>
        <w:numPr>
          <w:ilvl w:val="0"/>
          <w:numId w:val="50"/>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a személyes vagy értékelő dicséret helyett tiszta és informatív visszajelzést kell adniuk;</w:t>
      </w:r>
    </w:p>
    <w:p w14:paraId="5AB66F6F" w14:textId="77777777" w:rsidR="007D587C" w:rsidRPr="000F45B4" w:rsidRDefault="007D587C" w:rsidP="00445121">
      <w:pPr>
        <w:numPr>
          <w:ilvl w:val="0"/>
          <w:numId w:val="50"/>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indokolniuk kell a döntéseket, információkat megosztani magukról és a szervezetről, valamint nyíltan meg kell vitatniuk szándékaikat;</w:t>
      </w:r>
    </w:p>
    <w:p w14:paraId="23DDD203" w14:textId="77777777" w:rsidR="007D587C" w:rsidRPr="000F45B4" w:rsidRDefault="007D587C" w:rsidP="00445121">
      <w:pPr>
        <w:numPr>
          <w:ilvl w:val="0"/>
          <w:numId w:val="50"/>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segíteniük kell az egyéneknek abban, hogy összehangolják a munkát és a feladatokat saját értékeikkel és a szakmai céljaikkal.</w:t>
      </w:r>
    </w:p>
    <w:p w14:paraId="0FCE8B05" w14:textId="77777777" w:rsidR="007D587C" w:rsidRPr="000F45B4" w:rsidRDefault="007D587C" w:rsidP="007D587C">
      <w:pPr>
        <w:jc w:val="both"/>
        <w:rPr>
          <w:rFonts w:ascii="Times New Roman" w:eastAsia="Calibri" w:hAnsi="Times New Roman" w:cs="Times New Roman"/>
          <w:i/>
          <w:iCs/>
        </w:rPr>
      </w:pPr>
      <w:r w:rsidRPr="000F45B4">
        <w:rPr>
          <w:rFonts w:ascii="Times New Roman" w:eastAsia="Calibri" w:hAnsi="Times New Roman" w:cs="Times New Roman"/>
          <w:i/>
          <w:iCs/>
        </w:rPr>
        <w:t>A kompetenciaépítés kompetenciája:</w:t>
      </w:r>
    </w:p>
    <w:p w14:paraId="01B7EEB3" w14:textId="77777777" w:rsidR="007D587C" w:rsidRPr="000F45B4" w:rsidRDefault="007D587C" w:rsidP="00445121">
      <w:pPr>
        <w:numPr>
          <w:ilvl w:val="0"/>
          <w:numId w:val="5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tanulási célokat hangsúlyozzák, nemcsak a teljesítménycélokat;</w:t>
      </w:r>
    </w:p>
    <w:p w14:paraId="084CFF21" w14:textId="77777777" w:rsidR="007D587C" w:rsidRPr="000F45B4" w:rsidRDefault="007D587C" w:rsidP="00445121">
      <w:pPr>
        <w:numPr>
          <w:ilvl w:val="0"/>
          <w:numId w:val="51"/>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megkérdezik: "Mit tanultál ma?", a hibákat tanulási lehetőségnek tartják;</w:t>
      </w:r>
    </w:p>
    <w:p w14:paraId="0CE44E04" w14:textId="77777777" w:rsidR="007D587C" w:rsidRPr="000F45B4" w:rsidRDefault="007D587C" w:rsidP="00445121">
      <w:pPr>
        <w:numPr>
          <w:ilvl w:val="0"/>
          <w:numId w:val="51"/>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a beosztott szintjének megfelelő képzést biztosítanak és vezetési stílust alkalmaznak;</w:t>
      </w:r>
    </w:p>
    <w:p w14:paraId="2D919C54" w14:textId="77777777" w:rsidR="007D587C" w:rsidRPr="000F45B4" w:rsidRDefault="007D587C" w:rsidP="00445121">
      <w:pPr>
        <w:numPr>
          <w:ilvl w:val="0"/>
          <w:numId w:val="51"/>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segítik a problémamegoldást a lehetőségek és alternatívák feltárását célzó kérdésekkel.</w:t>
      </w:r>
    </w:p>
    <w:p w14:paraId="46270588" w14:textId="77777777" w:rsidR="007D587C" w:rsidRPr="000F45B4" w:rsidRDefault="007D587C" w:rsidP="007D587C">
      <w:pPr>
        <w:jc w:val="both"/>
        <w:rPr>
          <w:rFonts w:ascii="Times New Roman" w:eastAsia="Calibri" w:hAnsi="Times New Roman" w:cs="Times New Roman"/>
          <w:i/>
          <w:iCs/>
        </w:rPr>
      </w:pPr>
      <w:r w:rsidRPr="000F45B4">
        <w:rPr>
          <w:rFonts w:ascii="Times New Roman" w:eastAsia="Calibri" w:hAnsi="Times New Roman" w:cs="Times New Roman"/>
          <w:i/>
          <w:iCs/>
        </w:rPr>
        <w:t xml:space="preserve">Az autonómia erősítésének kompetenciája: </w:t>
      </w:r>
    </w:p>
    <w:p w14:paraId="620BFC22" w14:textId="77777777" w:rsidR="007D587C" w:rsidRPr="000F45B4" w:rsidRDefault="007D587C" w:rsidP="00445121">
      <w:pPr>
        <w:numPr>
          <w:ilvl w:val="0"/>
          <w:numId w:val="49"/>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olyan nyelvezetet használnak, amely a választás érzékeltetésére hívja fel a figyelmet,</w:t>
      </w:r>
    </w:p>
    <w:p w14:paraId="00D49A5E" w14:textId="77777777" w:rsidR="007D587C" w:rsidRPr="000F45B4" w:rsidRDefault="007D587C" w:rsidP="00445121">
      <w:pPr>
        <w:numPr>
          <w:ilvl w:val="0"/>
          <w:numId w:val="49"/>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megvilágítják a határokat, majd feltárják az ezeken a határokon belüli választási lehetőségeket,</w:t>
      </w:r>
    </w:p>
    <w:p w14:paraId="7732BED8" w14:textId="77777777" w:rsidR="007D587C" w:rsidRPr="000F45B4" w:rsidRDefault="007D587C" w:rsidP="00445121">
      <w:pPr>
        <w:numPr>
          <w:ilvl w:val="0"/>
          <w:numId w:val="49"/>
        </w:numPr>
        <w:spacing w:after="0" w:line="240" w:lineRule="auto"/>
        <w:jc w:val="both"/>
        <w:rPr>
          <w:rFonts w:ascii="Times New Roman" w:eastAsia="Calibri" w:hAnsi="Times New Roman" w:cs="Times New Roman"/>
        </w:rPr>
      </w:pPr>
      <w:r w:rsidRPr="000F45B4">
        <w:rPr>
          <w:rFonts w:ascii="Times New Roman" w:eastAsia="Calibri" w:hAnsi="Times New Roman" w:cs="Times New Roman"/>
        </w:rPr>
        <w:t xml:space="preserve">együttműködve határozzák meg a célokat, és segítenek a célok releváns átfogalmazásában, </w:t>
      </w:r>
    </w:p>
    <w:p w14:paraId="70D0553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célokat és az ütemtervet értékes információként mutatják be, amely szükséges a célok eléréséhez, az eredmények eléréséhez.</w:t>
      </w:r>
    </w:p>
    <w:p w14:paraId="0362D244"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60" w:name="_Toc145363814"/>
      <w:bookmarkStart w:id="261" w:name="_Toc145363886"/>
      <w:bookmarkStart w:id="262" w:name="_Toc145363942"/>
      <w:bookmarkStart w:id="263" w:name="_Toc145364482"/>
      <w:bookmarkStart w:id="264" w:name="_Toc118749526"/>
      <w:bookmarkStart w:id="265" w:name="_Toc145962986"/>
      <w:bookmarkEnd w:id="260"/>
      <w:bookmarkEnd w:id="261"/>
      <w:bookmarkEnd w:id="262"/>
      <w:bookmarkEnd w:id="263"/>
      <w:r w:rsidRPr="000F45B4">
        <w:rPr>
          <w:rFonts w:ascii="Times New Roman" w:hAnsi="Times New Roman" w:cs="Times New Roman"/>
        </w:rPr>
        <w:t>Négy-hajtóerő elmélet</w:t>
      </w:r>
      <w:bookmarkEnd w:id="264"/>
      <w:bookmarkEnd w:id="265"/>
      <w:r w:rsidRPr="000F45B4">
        <w:rPr>
          <w:rFonts w:ascii="Times New Roman" w:hAnsi="Times New Roman" w:cs="Times New Roman"/>
        </w:rPr>
        <w:t xml:space="preserve"> </w:t>
      </w:r>
    </w:p>
    <w:p w14:paraId="01292AB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Négy-hajtóerő elméletet 2002-ben publikálta két harvardi professzor, Paul Lawrence és </w:t>
      </w:r>
      <w:proofErr w:type="spellStart"/>
      <w:r w:rsidRPr="000F45B4">
        <w:rPr>
          <w:rFonts w:ascii="Times New Roman" w:eastAsia="Calibri" w:hAnsi="Times New Roman" w:cs="Times New Roman"/>
        </w:rPr>
        <w:t>Nitin</w:t>
      </w:r>
      <w:proofErr w:type="spellEnd"/>
      <w:r w:rsidRPr="000F45B4">
        <w:rPr>
          <w:rFonts w:ascii="Times New Roman" w:eastAsia="Calibri" w:hAnsi="Times New Roman" w:cs="Times New Roman"/>
        </w:rPr>
        <w:t xml:space="preserve"> </w:t>
      </w:r>
      <w:proofErr w:type="spellStart"/>
      <w:proofErr w:type="gramStart"/>
      <w:r w:rsidRPr="000F45B4">
        <w:rPr>
          <w:rFonts w:ascii="Times New Roman" w:eastAsia="Calibri" w:hAnsi="Times New Roman" w:cs="Times New Roman"/>
        </w:rPr>
        <w:t>Nohrina</w:t>
      </w:r>
      <w:proofErr w:type="spellEnd"/>
      <w:r w:rsidRPr="000F45B4">
        <w:rPr>
          <w:rFonts w:ascii="Times New Roman" w:eastAsia="Calibri" w:hAnsi="Times New Roman" w:cs="Times New Roman"/>
          <w:vertAlign w:val="superscript"/>
        </w:rPr>
        <w:t xml:space="preserve"> </w:t>
      </w:r>
      <w:r w:rsidRPr="000F45B4">
        <w:rPr>
          <w:rFonts w:ascii="Times New Roman" w:eastAsia="Calibri" w:hAnsi="Times New Roman" w:cs="Times New Roman"/>
        </w:rPr>
        <w:t xml:space="preserve"> (</w:t>
      </w:r>
      <w:proofErr w:type="gramEnd"/>
      <w:r w:rsidRPr="000F45B4">
        <w:rPr>
          <w:rFonts w:ascii="Times New Roman" w:hAnsi="Times New Roman" w:cs="Times New Roman"/>
        </w:rPr>
        <w:t xml:space="preserve">Lawrence </w:t>
      </w:r>
      <w:r w:rsidRPr="000F45B4">
        <w:rPr>
          <w:rFonts w:ascii="Times New Roman" w:eastAsiaTheme="minorHAnsi" w:hAnsi="Times New Roman" w:cs="Times New Roman"/>
        </w:rPr>
        <w:t xml:space="preserve">&amp; </w:t>
      </w:r>
      <w:proofErr w:type="spellStart"/>
      <w:r w:rsidRPr="000F45B4">
        <w:rPr>
          <w:rFonts w:ascii="Times New Roman" w:hAnsi="Times New Roman" w:cs="Times New Roman"/>
        </w:rPr>
        <w:t>Nohrina</w:t>
      </w:r>
      <w:proofErr w:type="spellEnd"/>
      <w:r w:rsidRPr="000F45B4">
        <w:rPr>
          <w:rFonts w:ascii="Times New Roman" w:hAnsi="Times New Roman" w:cs="Times New Roman"/>
        </w:rPr>
        <w:t xml:space="preserve">, 2002). </w:t>
      </w:r>
      <w:r w:rsidRPr="000F45B4">
        <w:rPr>
          <w:rFonts w:ascii="Times New Roman" w:eastAsia="Calibri" w:hAnsi="Times New Roman" w:cs="Times New Roman"/>
        </w:rPr>
        <w:t xml:space="preserve">Az elmélet erősen épít az érzelmek jelentőségére, abból indul ki, hogy mindenki rendelkezik négy hajtóerővel (megszerzésre való törekvés, kötődésre irányuló késztetés, tanulási vágy, védekezésre való törekvés), s az általuk generált érzelmek ösztönöznek cselekvésre. </w:t>
      </w:r>
    </w:p>
    <w:p w14:paraId="2359325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 xml:space="preserve">megszerzésre való törekvés </w:t>
      </w:r>
      <w:r w:rsidRPr="000F45B4">
        <w:rPr>
          <w:rFonts w:ascii="Times New Roman" w:eastAsia="Calibri" w:hAnsi="Times New Roman" w:cs="Times New Roman"/>
        </w:rPr>
        <w:t>a tárgyak és személyes élmények keresésére, megszerzésére, ellenőrzésére és megtartására irányuló késztetés. Magában foglalja az egyén önképének növelését, a verseny és a megbecsülés iránti igény alapja. Az elmélet szerint a megszerzésre való törekvés kielégíthetetlen, mert az emberi motiváció célja a másoknál magasabb pozíció elérése. Munkahelyi környezetben ez a magas kompenzációra, előléptetésre, díjakra és elismerésekre, státuszra és hatalomra való vágyban jelentkezik.</w:t>
      </w:r>
    </w:p>
    <w:p w14:paraId="2FECBE0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kötődésre irányuló késztetés</w:t>
      </w:r>
      <w:r w:rsidRPr="000F45B4">
        <w:rPr>
          <w:rFonts w:ascii="Times New Roman" w:eastAsia="Calibri" w:hAnsi="Times New Roman" w:cs="Times New Roman"/>
        </w:rPr>
        <w:t xml:space="preserve"> arra irányul, hogy társas kapcsolatokat és kölcsönös gondoskodó elkötelezettséget alakítsunk ki másokkal. Ez motiválja az embereket az együttműködésre, alapvető összetevője a szervezetek sikerének és a társadalmak fejlődésének. A késztetés támogató munkahelyi csapathoz való tartozás vágyában manifesztálódik. </w:t>
      </w:r>
    </w:p>
    <w:p w14:paraId="2842B4A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lastRenderedPageBreak/>
        <w:t xml:space="preserve">A </w:t>
      </w:r>
      <w:r w:rsidRPr="000F45B4">
        <w:rPr>
          <w:rFonts w:ascii="Times New Roman" w:eastAsia="Calibri" w:hAnsi="Times New Roman" w:cs="Times New Roman"/>
          <w:i/>
          <w:iCs/>
        </w:rPr>
        <w:t>tanulásra való késztetés</w:t>
      </w:r>
      <w:r w:rsidRPr="000F45B4">
        <w:rPr>
          <w:rFonts w:ascii="Times New Roman" w:eastAsia="Calibri" w:hAnsi="Times New Roman" w:cs="Times New Roman"/>
        </w:rPr>
        <w:t xml:space="preserve"> a kíváncsiság kielégítésére, önmagunk és a minket körülvevő környezet megismerésére és megértésére irányuló törekvés. Amikor olyasmit figyelünk meg, ami nincs összhangban a jelenlegi tudásunkkal vagy meghaladja azt, olyan feszültséget élünk át, amely arra motivál, hogy ezt az információs hiányt pótoljuk. Sőt, vizsgálatok kimutatták, hogy azok az emberek, akiket bármilyen újszerű információtól eltávolítanak, még az unalmas információk után is vágyakozni fognak. Ez a munkahelyen az érdekes és kihívást jelentő munkahelyi feladatokra vonatkozó igényben jelenik meg.</w:t>
      </w:r>
    </w:p>
    <w:p w14:paraId="221A0D6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védekezési vágy</w:t>
      </w:r>
      <w:r w:rsidRPr="000F45B4">
        <w:rPr>
          <w:rFonts w:ascii="Times New Roman" w:eastAsia="Calibri" w:hAnsi="Times New Roman" w:cs="Times New Roman"/>
        </w:rPr>
        <w:t xml:space="preserve"> az a késztetés, hogy fizikailag és szociálisan megvédjük magunkat. A védekezési késztetés túlmutat a fizikai énünk védelmén, magába foglalja kapcsolataink, szerzeményeink és hitrendszerünk védelmét is. Ez munkahelyi környezetben a megfelelő panaszkezelés, a fair teljesítményértékelés és a döntésekbe való beleszólás igényeként jelentkezik. </w:t>
      </w:r>
    </w:p>
    <w:p w14:paraId="5C81F61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hajtóerők között nincs hierarchia, az egyik késztetés sem függ egy másiktól és legfeljebb csak ideiglenesen tudjuk kielégíteni őket. A négy hajtóerő közül három (megszerzésre, kötődésre, tanulásra irányuló vágy) proaktív, azaz rendszeresen igyekszünk kielégíteni őket. A védekezési igény azonban reaktív, azt a fenyegetés aktiválja. </w:t>
      </w:r>
    </w:p>
    <w:p w14:paraId="00CB7AC3" w14:textId="77777777" w:rsidR="007D587C" w:rsidRPr="000F45B4" w:rsidRDefault="007D587C" w:rsidP="007D587C">
      <w:pPr>
        <w:jc w:val="both"/>
        <w:rPr>
          <w:rFonts w:ascii="Times New Roman" w:eastAsia="Calibri" w:hAnsi="Times New Roman" w:cs="Times New Roman"/>
        </w:rPr>
      </w:pPr>
    </w:p>
    <w:p w14:paraId="193139E6"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01F4B05D" wp14:editId="231E8DB8">
            <wp:extent cx="4687614" cy="2056089"/>
            <wp:effectExtent l="0" t="0" r="0" b="1905"/>
            <wp:docPr id="1810008266" name="Kép 1810008266" descr="A képen szöveg, képernyőkép, Betűtípus,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6" name="Kép 1810008266" descr="A képen szöveg, képernyőkép, Betűtípus, diagram látható&#10;&#10;Automatikusan generált leírás"/>
                    <pic:cNvPicPr/>
                  </pic:nvPicPr>
                  <pic:blipFill>
                    <a:blip r:embed="rId51"/>
                    <a:stretch>
                      <a:fillRect/>
                    </a:stretch>
                  </pic:blipFill>
                  <pic:spPr>
                    <a:xfrm>
                      <a:off x="0" y="0"/>
                      <a:ext cx="4688448" cy="2056455"/>
                    </a:xfrm>
                    <a:prstGeom prst="rect">
                      <a:avLst/>
                    </a:prstGeom>
                  </pic:spPr>
                </pic:pic>
              </a:graphicData>
            </a:graphic>
          </wp:inline>
        </w:drawing>
      </w:r>
    </w:p>
    <w:p w14:paraId="1086E2BB" w14:textId="77777777" w:rsidR="007D587C" w:rsidRPr="000F45B4" w:rsidRDefault="007D587C" w:rsidP="007D587C">
      <w:pPr>
        <w:ind w:left="720"/>
        <w:contextualSpacing/>
        <w:jc w:val="center"/>
        <w:rPr>
          <w:rFonts w:ascii="Times New Roman" w:eastAsia="Calibri" w:hAnsi="Times New Roman" w:cs="Times New Roman"/>
        </w:rPr>
      </w:pPr>
      <w:r w:rsidRPr="000F45B4">
        <w:rPr>
          <w:rFonts w:ascii="Times New Roman" w:eastAsia="Calibri" w:hAnsi="Times New Roman" w:cs="Times New Roman"/>
        </w:rPr>
        <w:t>10. ábra: A Négy-hajtóerő elmélet</w:t>
      </w:r>
    </w:p>
    <w:p w14:paraId="21B4EB6D" w14:textId="77777777" w:rsidR="007D587C" w:rsidRPr="000F45B4" w:rsidRDefault="007D587C" w:rsidP="007D587C">
      <w:pPr>
        <w:jc w:val="center"/>
        <w:rPr>
          <w:rFonts w:ascii="Times New Roman" w:eastAsia="Calibri" w:hAnsi="Times New Roman" w:cs="Times New Roman"/>
          <w:i/>
          <w:iCs/>
          <w:sz w:val="20"/>
          <w:szCs w:val="20"/>
        </w:rPr>
      </w:pPr>
      <w:r w:rsidRPr="000F45B4">
        <w:rPr>
          <w:rFonts w:ascii="Times New Roman" w:eastAsia="Calibri" w:hAnsi="Times New Roman" w:cs="Times New Roman"/>
          <w:i/>
          <w:iCs/>
          <w:sz w:val="20"/>
          <w:szCs w:val="20"/>
        </w:rPr>
        <w:t xml:space="preserve">Forrás: </w:t>
      </w:r>
      <w:r w:rsidRPr="000F45B4">
        <w:rPr>
          <w:rFonts w:ascii="Times New Roman" w:eastAsia="Calibri" w:hAnsi="Times New Roman" w:cs="Times New Roman"/>
          <w:i/>
          <w:iCs/>
        </w:rPr>
        <w:t xml:space="preserve">Lawrence </w:t>
      </w:r>
      <w:r w:rsidRPr="000F45B4">
        <w:rPr>
          <w:rFonts w:ascii="Times New Roman" w:eastAsiaTheme="minorHAnsi" w:hAnsi="Times New Roman" w:cs="Times New Roman"/>
        </w:rPr>
        <w:t>&amp;</w:t>
      </w:r>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Nohrina</w:t>
      </w:r>
      <w:proofErr w:type="spellEnd"/>
      <w:r w:rsidRPr="000F45B4">
        <w:rPr>
          <w:rFonts w:ascii="Times New Roman" w:eastAsia="Calibri" w:hAnsi="Times New Roman" w:cs="Times New Roman"/>
          <w:i/>
          <w:iCs/>
          <w:sz w:val="20"/>
          <w:szCs w:val="20"/>
        </w:rPr>
        <w:t xml:space="preserve"> (2002) alapján saját szerkesztés</w:t>
      </w:r>
    </w:p>
    <w:p w14:paraId="34B87B5E" w14:textId="77777777" w:rsidR="007D587C" w:rsidRPr="000F45B4" w:rsidRDefault="007D587C" w:rsidP="007D587C">
      <w:pPr>
        <w:jc w:val="both"/>
        <w:rPr>
          <w:rFonts w:ascii="Times New Roman" w:eastAsia="Calibri" w:hAnsi="Times New Roman" w:cs="Times New Roman"/>
        </w:rPr>
      </w:pPr>
    </w:p>
    <w:p w14:paraId="2461A14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Ez a négy hajtóerő veleszületett és univerzális, minden emberben megtalálhatóak. A hajtóerők meghatározzák, hogy a minket érő ingerekhez milyen érzelmek kapcsolódnak. A mentális képességeink pedig a társadalmi normákra, a múltbeli tapasztalatokra és a személyes értékekre támaszkodva az érzelmeink motiváló erejét hasznos és elfogadható célok felé irányítják.</w:t>
      </w:r>
    </w:p>
    <w:p w14:paraId="5074CDA3"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Egyszerűbben megfogalmazva: a minket érő külső hatások a hajtóerők miatt érzelmeket váltanak ki belőlünk, cselekedeteinket pedig a társadalmi normák, értékeink és múltbéli tapasztalataink alapján alakítjuk ki úgy, hogy az érzelmek forrását célozzuk meg vele, azaz az érzelmet kiváltó hajtóerőt igyekszünk vele kielégíteni.</w:t>
      </w:r>
    </w:p>
    <w:p w14:paraId="2C01C82F" w14:textId="77777777" w:rsidR="007D587C" w:rsidRPr="000F45B4" w:rsidRDefault="007D587C" w:rsidP="007D587C">
      <w:pPr>
        <w:jc w:val="both"/>
        <w:rPr>
          <w:rFonts w:ascii="Times New Roman" w:eastAsia="Calibri" w:hAnsi="Times New Roman" w:cs="Times New Roman"/>
        </w:rPr>
      </w:pPr>
    </w:p>
    <w:p w14:paraId="5B698CC3"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7B49FEE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Négy-hajtóerő elmélet két szempontból is fontos a szervezetek számára. Egyrészt felhívja a figyelmet arra, hogy a munkavállalók motivációja és jóléte szempontjából a legjobb munkahelyek olyan körülményeket biztosítanak, amelyek segítik a munkavállalókat mind a négy hajtóerő kielégítésében. A </w:t>
      </w:r>
      <w:r w:rsidRPr="000F45B4">
        <w:rPr>
          <w:rFonts w:ascii="Times New Roman" w:eastAsia="Calibri" w:hAnsi="Times New Roman" w:cs="Times New Roman"/>
        </w:rPr>
        <w:lastRenderedPageBreak/>
        <w:t xml:space="preserve">munkavállalók folyamatosan a veleszületett késztetéseik kielégítésére törekszenek, ezért a sikeres vállalatok minden munkavállaló számára elegendő jutalmat, tanulási lehetőséget, társas </w:t>
      </w:r>
      <w:proofErr w:type="gramStart"/>
      <w:r w:rsidRPr="000F45B4">
        <w:rPr>
          <w:rFonts w:ascii="Times New Roman" w:eastAsia="Calibri" w:hAnsi="Times New Roman" w:cs="Times New Roman"/>
        </w:rPr>
        <w:t>interakciót,</w:t>
      </w:r>
      <w:proofErr w:type="gramEnd"/>
      <w:r w:rsidRPr="000F45B4">
        <w:rPr>
          <w:rFonts w:ascii="Times New Roman" w:eastAsia="Calibri" w:hAnsi="Times New Roman" w:cs="Times New Roman"/>
        </w:rPr>
        <w:t xml:space="preserve"> stb. biztosítanak. Kiemeli továbbá, hogy a négy hajtóerő kiteljesedését egyensúlyban kell tartani, vagyis a szervezeteknek el kell kerülniük, hogy a dolgozóknak túl sok vagy túl kevés lehetőségük legyen az egyes hajtóerők kiteljesítésére. Ennek a tanácsnak az az oka, hogy a négy hajtóerő ellensúlyozza egymást. A kötődésre való törekvés ellensúlyozza a szerzésre való törekvést; a védelemre való törekvés ellensúlyozza a tanulásra való törekvést. Egy olyan szervezet, amely a megszerzésre való törekvést a kötődésre való törekvés nélkül ösztönzi, végül szervezeti politikától és diszfunkcionális konfliktusoktól szenvedhet. A munkahelyi változások és újdonságok segítik a tanulási vágyat, de ha túl sok ilyen változás történik, az olyan mértékben beindítja a védekezési vágyat, hogy a dolgozók végül ellenállnak majd a változásoknak. A munkahelynek tehát elegendő lehetőséget kell kínálnia ahhoz, hogy mind a négy ösztönzőt egyensúlyban tartsa (</w:t>
      </w:r>
      <w:proofErr w:type="spellStart"/>
      <w:r w:rsidRPr="000F45B4">
        <w:rPr>
          <w:rFonts w:ascii="Times New Roman" w:hAnsi="Times New Roman" w:cs="Times New Roman"/>
        </w:rPr>
        <w:t>McShane</w:t>
      </w:r>
      <w:proofErr w:type="spellEnd"/>
      <w:r w:rsidRPr="000F45B4">
        <w:rPr>
          <w:rFonts w:ascii="Times New Roman" w:hAnsi="Times New Roman" w:cs="Times New Roman"/>
        </w:rPr>
        <w:t xml:space="preserve"> </w:t>
      </w:r>
      <w:r w:rsidRPr="000F45B4">
        <w:rPr>
          <w:rFonts w:ascii="Times New Roman" w:eastAsiaTheme="minorHAnsi" w:hAnsi="Times New Roman" w:cs="Times New Roman"/>
        </w:rPr>
        <w:t xml:space="preserve">&amp; </w:t>
      </w:r>
      <w:proofErr w:type="spellStart"/>
      <w:r w:rsidRPr="000F45B4">
        <w:rPr>
          <w:rFonts w:ascii="Times New Roman" w:hAnsi="Times New Roman" w:cs="Times New Roman"/>
        </w:rPr>
        <w:t>Glinow</w:t>
      </w:r>
      <w:proofErr w:type="spellEnd"/>
      <w:r w:rsidRPr="000F45B4">
        <w:rPr>
          <w:rFonts w:ascii="Times New Roman" w:hAnsi="Times New Roman" w:cs="Times New Roman"/>
        </w:rPr>
        <w:t>, 2015).</w:t>
      </w:r>
    </w:p>
    <w:p w14:paraId="60C61ED1"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rPr>
        <w:t>Nohrina</w:t>
      </w:r>
      <w:proofErr w:type="spellEnd"/>
      <w:r w:rsidRPr="000F45B4">
        <w:rPr>
          <w:rFonts w:ascii="Times New Roman" w:eastAsia="Calibri" w:hAnsi="Times New Roman" w:cs="Times New Roman"/>
        </w:rPr>
        <w:t xml:space="preserve"> és szerzőtársai (2008) emellett készítettek egy táblázatot a négy hajtóerőhöz szorosan kapcsolódó eszközökről és a kialakításuk során megfontolandó elvekről és módszerekről. </w:t>
      </w:r>
    </w:p>
    <w:p w14:paraId="2B992BD7" w14:textId="77777777" w:rsidR="007D587C" w:rsidRPr="000F45B4" w:rsidRDefault="007D587C" w:rsidP="007D587C">
      <w:pPr>
        <w:jc w:val="both"/>
        <w:rPr>
          <w:rFonts w:ascii="Times New Roman" w:eastAsia="Calibri" w:hAnsi="Times New Roman" w:cs="Times New Roman"/>
        </w:rPr>
      </w:pPr>
    </w:p>
    <w:p w14:paraId="2E33B0DF"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662F8C95" wp14:editId="49311E93">
            <wp:extent cx="5213131" cy="2997002"/>
            <wp:effectExtent l="0" t="0" r="0" b="635"/>
            <wp:docPr id="1810008267" name="Kép 1810008267" descr="A képen szöveg, képernyőkép, Betűtípus, szá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7" name="Kép 1810008267" descr="A képen szöveg, képernyőkép, Betűtípus, szám látható&#10;&#10;Automatikusan generált leírás"/>
                    <pic:cNvPicPr/>
                  </pic:nvPicPr>
                  <pic:blipFill>
                    <a:blip r:embed="rId52"/>
                    <a:stretch>
                      <a:fillRect/>
                    </a:stretch>
                  </pic:blipFill>
                  <pic:spPr>
                    <a:xfrm>
                      <a:off x="0" y="0"/>
                      <a:ext cx="5214043" cy="2997527"/>
                    </a:xfrm>
                    <a:prstGeom prst="rect">
                      <a:avLst/>
                    </a:prstGeom>
                  </pic:spPr>
                </pic:pic>
              </a:graphicData>
            </a:graphic>
          </wp:inline>
        </w:drawing>
      </w:r>
    </w:p>
    <w:p w14:paraId="101525B8"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rPr>
        <w:t>5. táblázat: A négy hajtóerőhöz kapcsolódó eszközök, elvek és módszerek</w:t>
      </w:r>
    </w:p>
    <w:p w14:paraId="1654BAFE" w14:textId="77777777" w:rsidR="007D587C" w:rsidRPr="000F45B4" w:rsidRDefault="007D587C" w:rsidP="007D587C">
      <w:pPr>
        <w:jc w:val="center"/>
        <w:rPr>
          <w:rFonts w:ascii="Times New Roman" w:eastAsia="Calibri" w:hAnsi="Times New Roman" w:cs="Times New Roman"/>
          <w:i/>
          <w:iCs/>
        </w:rPr>
      </w:pPr>
      <w:r w:rsidRPr="000F45B4">
        <w:rPr>
          <w:rFonts w:ascii="Times New Roman" w:eastAsia="Calibri" w:hAnsi="Times New Roman" w:cs="Times New Roman"/>
          <w:i/>
          <w:iCs/>
        </w:rPr>
        <w:t xml:space="preserve">Forrás: </w:t>
      </w:r>
      <w:proofErr w:type="spellStart"/>
      <w:r w:rsidRPr="000F45B4">
        <w:rPr>
          <w:rFonts w:ascii="Times New Roman" w:eastAsia="Calibri" w:hAnsi="Times New Roman" w:cs="Times New Roman"/>
          <w:i/>
          <w:iCs/>
        </w:rPr>
        <w:t>Nohrina</w:t>
      </w:r>
      <w:proofErr w:type="spellEnd"/>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et</w:t>
      </w:r>
      <w:proofErr w:type="spellEnd"/>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al</w:t>
      </w:r>
      <w:proofErr w:type="spellEnd"/>
      <w:r w:rsidRPr="000F45B4">
        <w:rPr>
          <w:rFonts w:ascii="Times New Roman" w:eastAsia="Calibri" w:hAnsi="Times New Roman" w:cs="Times New Roman"/>
          <w:i/>
          <w:iCs/>
        </w:rPr>
        <w:t>. (2008) alapján saját szerkesztés</w:t>
      </w:r>
    </w:p>
    <w:p w14:paraId="4B967020"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66" w:name="_Toc118749527"/>
      <w:bookmarkStart w:id="267" w:name="_Toc145962987"/>
      <w:r w:rsidRPr="000F45B4">
        <w:rPr>
          <w:rFonts w:ascii="Times New Roman" w:hAnsi="Times New Roman" w:cs="Times New Roman"/>
        </w:rPr>
        <w:t>Motiváció 3.0</w:t>
      </w:r>
      <w:bookmarkEnd w:id="266"/>
      <w:bookmarkEnd w:id="267"/>
    </w:p>
    <w:p w14:paraId="65584AE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Daniel H. Pinknek 2009-ben jelent meg a Motiváció 3.0 című könyve, amelyben az emberi szükségleteket a </w:t>
      </w:r>
      <w:proofErr w:type="spellStart"/>
      <w:r w:rsidRPr="000F45B4">
        <w:rPr>
          <w:rFonts w:ascii="Times New Roman" w:eastAsia="Calibri" w:hAnsi="Times New Roman" w:cs="Times New Roman"/>
        </w:rPr>
        <w:t>társadalami</w:t>
      </w:r>
      <w:proofErr w:type="spellEnd"/>
      <w:r w:rsidRPr="000F45B4">
        <w:rPr>
          <w:rFonts w:ascii="Times New Roman" w:eastAsia="Calibri" w:hAnsi="Times New Roman" w:cs="Times New Roman"/>
        </w:rPr>
        <w:t xml:space="preserve"> fejlődés különböző szakaszaihoz kötötte:</w:t>
      </w:r>
    </w:p>
    <w:p w14:paraId="073E3A24" w14:textId="77777777" w:rsidR="007D587C" w:rsidRPr="000F45B4" w:rsidRDefault="007D587C" w:rsidP="00445121">
      <w:pPr>
        <w:numPr>
          <w:ilvl w:val="0"/>
          <w:numId w:val="5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Motiváció 1.0 operációs rendszer: az emberi motiváció legkorábbi formája, kizárólag a puszta túlélési ösztön létezett.</w:t>
      </w:r>
    </w:p>
    <w:p w14:paraId="79492FB9" w14:textId="77777777" w:rsidR="007D587C" w:rsidRPr="000F45B4" w:rsidRDefault="007D587C" w:rsidP="00445121">
      <w:pPr>
        <w:numPr>
          <w:ilvl w:val="0"/>
          <w:numId w:val="5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Motiváció 2.0 operációs rendszer: ahogy az emberek egyre összetettebb társadalmakat alakítottak ki, a második ösztön, a jutalom keresése és a büntetés elkerülése került előtérbe a társadalmi kapcsolatokban és a Motiváció 1.0 átalakult Motiváció 2.0-vá. Ez az operációs rendszer táplálta a gazdasági fejlődést, és sok üzleti vezető a termelékenység növelésére törekedve átvette a jutalmazás és büntetés modelljét. </w:t>
      </w:r>
    </w:p>
    <w:p w14:paraId="07B8B257" w14:textId="77777777" w:rsidR="007D587C" w:rsidRPr="000F45B4" w:rsidRDefault="007D587C" w:rsidP="00445121">
      <w:pPr>
        <w:numPr>
          <w:ilvl w:val="0"/>
          <w:numId w:val="5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Motiváció 2.1 operációs rendszer: az 1960-as évek végén Douglas MacGregor beemelte a humanista pszichológiát az üzleti szektorba és bemutatta, hogyan növelhetik a vállalatvezetők </w:t>
      </w:r>
      <w:r w:rsidRPr="000F45B4">
        <w:rPr>
          <w:rFonts w:ascii="Times New Roman" w:eastAsia="Calibri" w:hAnsi="Times New Roman" w:cs="Times New Roman"/>
        </w:rPr>
        <w:lastRenderedPageBreak/>
        <w:t>a termelékenységet azáltal, hogy felelismerik az alkalmazottak összetettebb belső késztetéseit, amelyeket támogatni kell.</w:t>
      </w:r>
    </w:p>
    <w:p w14:paraId="539E56E5" w14:textId="77777777" w:rsidR="007D587C" w:rsidRPr="000F45B4" w:rsidRDefault="007D587C" w:rsidP="00445121">
      <w:pPr>
        <w:numPr>
          <w:ilvl w:val="0"/>
          <w:numId w:val="5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Motiváció 3.0 operációs rendszer: napjainkban egyre elterjedtebb – főként a tudásmunkások körében – az ún. I típusú magatartás az X típusú magatartással szemben. Az I típusú magatartás az </w:t>
      </w:r>
      <w:proofErr w:type="spellStart"/>
      <w:r w:rsidRPr="000F45B4">
        <w:rPr>
          <w:rFonts w:ascii="Times New Roman" w:eastAsia="Calibri" w:hAnsi="Times New Roman" w:cs="Times New Roman"/>
        </w:rPr>
        <w:t>intrinzik</w:t>
      </w:r>
      <w:proofErr w:type="spellEnd"/>
      <w:r w:rsidRPr="000F45B4">
        <w:rPr>
          <w:rFonts w:ascii="Times New Roman" w:eastAsia="Calibri" w:hAnsi="Times New Roman" w:cs="Times New Roman"/>
        </w:rPr>
        <w:t xml:space="preserve"> motivációjú, míg az X típusú magatartás az </w:t>
      </w:r>
      <w:proofErr w:type="spellStart"/>
      <w:r w:rsidRPr="000F45B4">
        <w:rPr>
          <w:rFonts w:ascii="Times New Roman" w:eastAsia="Calibri" w:hAnsi="Times New Roman" w:cs="Times New Roman"/>
        </w:rPr>
        <w:t>extrinzik</w:t>
      </w:r>
      <w:proofErr w:type="spellEnd"/>
      <w:r w:rsidRPr="000F45B4">
        <w:rPr>
          <w:rFonts w:ascii="Times New Roman" w:eastAsia="Calibri" w:hAnsi="Times New Roman" w:cs="Times New Roman"/>
        </w:rPr>
        <w:t xml:space="preserve"> motivációjú egyéneket jelöli. Az I típusú magatartás mozgatórugója az az igény, hogy életünket magunk irányítsuk, tanuljunk, fejlődjünk és alkossunk, valamint jobbá tegyük a világot és saját magunkat is. Az ilyen emberek esetében a Motiváció 2.0 és 2.1 rendszerhez kapcsolt ösztönzők, azaz a jutalmazás és a büntetés nem lehetnek eredményesek, ugyanis azok – többek között - kiolthatják az </w:t>
      </w:r>
      <w:proofErr w:type="spellStart"/>
      <w:r w:rsidRPr="000F45B4">
        <w:rPr>
          <w:rFonts w:ascii="Times New Roman" w:eastAsia="Calibri" w:hAnsi="Times New Roman" w:cs="Times New Roman"/>
        </w:rPr>
        <w:t>intrinzik</w:t>
      </w:r>
      <w:proofErr w:type="spellEnd"/>
      <w:r w:rsidRPr="000F45B4">
        <w:rPr>
          <w:rFonts w:ascii="Times New Roman" w:eastAsia="Calibri" w:hAnsi="Times New Roman" w:cs="Times New Roman"/>
        </w:rPr>
        <w:t xml:space="preserve"> motivációt, csökkenthetik a termelékenységet, gátolják a kreatív gondolkodást, függőséget okozhatnak, valamint bátoríthatják a csalást és az etikátlan viselkedést.</w:t>
      </w:r>
    </w:p>
    <w:p w14:paraId="7C787E3B" w14:textId="77777777" w:rsidR="007D587C" w:rsidRPr="000F45B4" w:rsidRDefault="007D587C" w:rsidP="007D587C">
      <w:pPr>
        <w:ind w:left="1440"/>
        <w:contextualSpacing/>
        <w:jc w:val="both"/>
        <w:rPr>
          <w:rFonts w:ascii="Times New Roman" w:eastAsia="Calibri" w:hAnsi="Times New Roman" w:cs="Times New Roman"/>
        </w:rPr>
      </w:pPr>
    </w:p>
    <w:p w14:paraId="358FA4FB"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Pink szerint alapvetően 3 szükséglet irányítja az I típusú magatartást tanúsító dolgozókat, s a szervezeteknek úgy kell kialakítaniuk a motivációs rendszerüket, hogy biztosítsák a feltételeket e 3 szükséglet kielégítéséhez:</w:t>
      </w:r>
    </w:p>
    <w:p w14:paraId="62B8FB49" w14:textId="77777777" w:rsidR="007D587C" w:rsidRPr="000F45B4" w:rsidRDefault="007D587C" w:rsidP="00445121">
      <w:pPr>
        <w:numPr>
          <w:ilvl w:val="0"/>
          <w:numId w:val="5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Önállóság iránti igény: az a vágy, hogy saját sorsunk irányítása a mi a kezünkben legyen. </w:t>
      </w:r>
    </w:p>
    <w:p w14:paraId="6D8D1202" w14:textId="77777777" w:rsidR="007D587C" w:rsidRPr="000F45B4" w:rsidRDefault="007D587C" w:rsidP="00445121">
      <w:pPr>
        <w:numPr>
          <w:ilvl w:val="0"/>
          <w:numId w:val="5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Szakmai igényesség igénye: az arra irányuló késztetés, hogy valami számunkra fontos területen egyre jobbak legyünk. </w:t>
      </w:r>
    </w:p>
    <w:p w14:paraId="57F8C58B" w14:textId="77777777" w:rsidR="007D587C" w:rsidRPr="000F45B4" w:rsidRDefault="007D587C" w:rsidP="00445121">
      <w:pPr>
        <w:numPr>
          <w:ilvl w:val="0"/>
          <w:numId w:val="53"/>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Céltudatosság: annak vágya, hogy a tevékenységünk valami nagyobb dolgot szolgáljon. </w:t>
      </w:r>
    </w:p>
    <w:p w14:paraId="7DBF5835" w14:textId="77777777" w:rsidR="007D587C" w:rsidRPr="000F45B4" w:rsidRDefault="007D587C" w:rsidP="007D587C">
      <w:pPr>
        <w:rPr>
          <w:rFonts w:ascii="Times New Roman" w:eastAsia="Calibri" w:hAnsi="Times New Roman" w:cs="Times New Roman"/>
          <w:b/>
          <w:bCs/>
        </w:rPr>
      </w:pPr>
    </w:p>
    <w:p w14:paraId="30A7ECFB"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353B1919"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Az önállóság iránti igény kielégítéséhez Pink szerint a vezetőknek el kell felejteniük a hagyományos menedzsment szerepet és teret kell adniuk a dolgozóknak az önirányításhoz. Ennek érdekében az alkalmazottaknak autonómiával célszerű rendelkezniük a munkájuk következő négy aspektusa felett: mit csinálnak (feladat), mikor csinálják (idő), hogyan csinálják (technika), és kivel csinálják (csapat).</w:t>
      </w:r>
    </w:p>
    <w:p w14:paraId="373EAB99"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szakmai igényeség szükséglete kihívást jelentő és önmagukban is kielégítő, fejlődést biztosító feladatokkal elégíthető ki. Ehhez olyan munkatevékenységek biztosítására van szükség, amelyekben a részvétel önmagában is jutalmat jelent. </w:t>
      </w:r>
    </w:p>
    <w:p w14:paraId="7A49EC69"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A céltudatosság tekintetében pedig azt vallja Pink, hogy ha a munkahelyen vagy a szervezetben dolgozó egyének úgy érzik, hogy feladataik segítenek mások életének javításában, vagy segítenek másoknak abban, hogy értelmes módon tanuljanak vagy fejlődjenek, a munkavállalók erősebb motivációt éreznek arra, hogy munkájukat hatékonyan és eredményesen végezzék el.</w:t>
      </w:r>
    </w:p>
    <w:p w14:paraId="00FF8490" w14:textId="77777777" w:rsidR="007D587C" w:rsidRPr="000F45B4" w:rsidRDefault="007D587C" w:rsidP="007D587C">
      <w:pPr>
        <w:jc w:val="both"/>
        <w:rPr>
          <w:rFonts w:ascii="Times New Roman" w:eastAsia="Calibri" w:hAnsi="Times New Roman" w:cs="Times New Roman"/>
          <w:color w:val="000000"/>
        </w:rPr>
      </w:pPr>
    </w:p>
    <w:p w14:paraId="658D4AEC"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68" w:name="_Toc118749528"/>
      <w:bookmarkStart w:id="269" w:name="_Toc145962988"/>
      <w:r w:rsidRPr="000F45B4">
        <w:rPr>
          <w:rFonts w:ascii="Times New Roman" w:hAnsi="Times New Roman" w:cs="Times New Roman"/>
        </w:rPr>
        <w:t>A 9M modell</w:t>
      </w:r>
      <w:bookmarkEnd w:id="268"/>
      <w:bookmarkEnd w:id="269"/>
    </w:p>
    <w:p w14:paraId="78802BE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9M modellt </w:t>
      </w:r>
      <w:proofErr w:type="spellStart"/>
      <w:r w:rsidRPr="000F45B4">
        <w:rPr>
          <w:rFonts w:ascii="Times New Roman" w:eastAsia="Calibri" w:hAnsi="Times New Roman" w:cs="Times New Roman"/>
        </w:rPr>
        <w:t>Mathe</w:t>
      </w:r>
      <w:proofErr w:type="spellEnd"/>
      <w:r w:rsidRPr="000F45B4">
        <w:rPr>
          <w:rFonts w:ascii="Times New Roman" w:eastAsia="Calibri" w:hAnsi="Times New Roman" w:cs="Times New Roman"/>
        </w:rPr>
        <w:t xml:space="preserve"> és szerzőtársai a </w:t>
      </w:r>
      <w:proofErr w:type="spellStart"/>
      <w:r w:rsidRPr="000F45B4">
        <w:rPr>
          <w:rFonts w:ascii="Times New Roman" w:eastAsia="Calibri" w:hAnsi="Times New Roman" w:cs="Times New Roman"/>
        </w:rPr>
        <w:t>Sodexoval</w:t>
      </w:r>
      <w:proofErr w:type="spellEnd"/>
      <w:r w:rsidRPr="000F45B4">
        <w:rPr>
          <w:rFonts w:ascii="Times New Roman" w:eastAsia="Calibri" w:hAnsi="Times New Roman" w:cs="Times New Roman"/>
        </w:rPr>
        <w:t xml:space="preserve"> együttműködve készítették el 2011-ben. A cél olyan motivációs elmélet megalkotása volt, amely összegzi a korábbi gondolkodók koncepciónak tanulságát és lehetővé teszi azok egyszerű szervezeti adaptálását. </w:t>
      </w:r>
    </w:p>
    <w:p w14:paraId="682239DA"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Az elmélet három szükséglet köré építi fel a motivációt:</w:t>
      </w:r>
    </w:p>
    <w:p w14:paraId="04124BB9" w14:textId="77777777" w:rsidR="007D587C" w:rsidRPr="000F45B4" w:rsidRDefault="007D587C" w:rsidP="00445121">
      <w:pPr>
        <w:numPr>
          <w:ilvl w:val="0"/>
          <w:numId w:val="59"/>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Élni: a teljes és egészséges élet iránti vágy.</w:t>
      </w:r>
    </w:p>
    <w:p w14:paraId="4CEF9E6C" w14:textId="77777777" w:rsidR="007D587C" w:rsidRPr="000F45B4" w:rsidRDefault="007D587C" w:rsidP="00445121">
      <w:pPr>
        <w:numPr>
          <w:ilvl w:val="0"/>
          <w:numId w:val="59"/>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Növekedni: az arra irányuló szükséglet, hogy kihívások elé állítsuk magunkat és szakmailag fejlődjünk.</w:t>
      </w:r>
    </w:p>
    <w:p w14:paraId="1F9D6124" w14:textId="77777777" w:rsidR="007D587C" w:rsidRPr="000F45B4" w:rsidRDefault="007D587C" w:rsidP="00445121">
      <w:pPr>
        <w:numPr>
          <w:ilvl w:val="0"/>
          <w:numId w:val="59"/>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Kapcsolódni: az az igény, hogy valahogyan kapcsolódjunk az emberekhez és a szervezethez, amelyben dolgozunk; megtaláljuk az értelmet és a hovatartozás érzését a mindennapi életünkben.</w:t>
      </w:r>
    </w:p>
    <w:p w14:paraId="73A455A0"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modell a 3 szükséglethez szervezeti megfelelőket rendel, mindhárom szükséglethez 3-3 szervezeti feltételt határoz meg.</w:t>
      </w:r>
    </w:p>
    <w:p w14:paraId="0275DA22" w14:textId="77777777" w:rsidR="007D587C" w:rsidRPr="000F45B4" w:rsidRDefault="007D587C" w:rsidP="007D587C">
      <w:pPr>
        <w:jc w:val="both"/>
        <w:rPr>
          <w:rFonts w:ascii="Times New Roman" w:eastAsia="Calibri" w:hAnsi="Times New Roman" w:cs="Times New Roman"/>
        </w:rPr>
      </w:pPr>
    </w:p>
    <w:p w14:paraId="7E3DF954"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7C6EBD33" wp14:editId="3F5D3886">
            <wp:extent cx="4687614" cy="4574916"/>
            <wp:effectExtent l="0" t="0" r="0" b="0"/>
            <wp:docPr id="1810008268" name="Kép 1810008268" descr="A képen szöveg, kör, képernyőkép,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8" name="Kép 1810008268" descr="A képen szöveg, kör, képernyőkép, diagram látható&#10;&#10;Automatikusan generált leírás"/>
                    <pic:cNvPicPr/>
                  </pic:nvPicPr>
                  <pic:blipFill>
                    <a:blip r:embed="rId53"/>
                    <a:stretch>
                      <a:fillRect/>
                    </a:stretch>
                  </pic:blipFill>
                  <pic:spPr>
                    <a:xfrm>
                      <a:off x="0" y="0"/>
                      <a:ext cx="4687614" cy="4574916"/>
                    </a:xfrm>
                    <a:prstGeom prst="rect">
                      <a:avLst/>
                    </a:prstGeom>
                  </pic:spPr>
                </pic:pic>
              </a:graphicData>
            </a:graphic>
          </wp:inline>
        </w:drawing>
      </w:r>
    </w:p>
    <w:p w14:paraId="2A930773" w14:textId="77777777" w:rsidR="007D587C" w:rsidRPr="000F45B4" w:rsidRDefault="007D587C" w:rsidP="007D587C">
      <w:pPr>
        <w:ind w:left="720"/>
        <w:contextualSpacing/>
        <w:jc w:val="center"/>
        <w:rPr>
          <w:rFonts w:ascii="Times New Roman" w:eastAsia="Calibri" w:hAnsi="Times New Roman" w:cs="Times New Roman"/>
        </w:rPr>
      </w:pPr>
      <w:r w:rsidRPr="000F45B4">
        <w:rPr>
          <w:rFonts w:ascii="Times New Roman" w:eastAsia="Calibri" w:hAnsi="Times New Roman" w:cs="Times New Roman"/>
        </w:rPr>
        <w:t>11. ábra: A 9M modell</w:t>
      </w:r>
    </w:p>
    <w:p w14:paraId="6591A1D0" w14:textId="77777777" w:rsidR="007D587C" w:rsidRPr="000F45B4" w:rsidRDefault="007D587C" w:rsidP="007D587C">
      <w:pPr>
        <w:jc w:val="center"/>
        <w:rPr>
          <w:rFonts w:ascii="Times New Roman" w:eastAsia="Calibri" w:hAnsi="Times New Roman" w:cs="Times New Roman"/>
          <w:i/>
          <w:iCs/>
        </w:rPr>
      </w:pPr>
      <w:r w:rsidRPr="000F45B4">
        <w:rPr>
          <w:rFonts w:ascii="Times New Roman" w:eastAsia="Calibri" w:hAnsi="Times New Roman" w:cs="Times New Roman"/>
          <w:i/>
          <w:iCs/>
        </w:rPr>
        <w:t xml:space="preserve">Forrás: </w:t>
      </w:r>
      <w:proofErr w:type="spellStart"/>
      <w:r w:rsidRPr="000F45B4">
        <w:rPr>
          <w:rFonts w:ascii="Times New Roman" w:eastAsia="Calibri" w:hAnsi="Times New Roman" w:cs="Times New Roman"/>
          <w:i/>
          <w:iCs/>
        </w:rPr>
        <w:t>Mathe</w:t>
      </w:r>
      <w:proofErr w:type="spellEnd"/>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et</w:t>
      </w:r>
      <w:proofErr w:type="spellEnd"/>
      <w:r w:rsidRPr="000F45B4">
        <w:rPr>
          <w:rFonts w:ascii="Times New Roman" w:eastAsia="Calibri" w:hAnsi="Times New Roman" w:cs="Times New Roman"/>
          <w:i/>
          <w:iCs/>
        </w:rPr>
        <w:t xml:space="preserve"> </w:t>
      </w:r>
      <w:proofErr w:type="spellStart"/>
      <w:r w:rsidRPr="000F45B4">
        <w:rPr>
          <w:rFonts w:ascii="Times New Roman" w:eastAsia="Calibri" w:hAnsi="Times New Roman" w:cs="Times New Roman"/>
          <w:i/>
          <w:iCs/>
        </w:rPr>
        <w:t>al</w:t>
      </w:r>
      <w:proofErr w:type="spellEnd"/>
      <w:r w:rsidRPr="000F45B4">
        <w:rPr>
          <w:rFonts w:ascii="Times New Roman" w:eastAsia="Calibri" w:hAnsi="Times New Roman" w:cs="Times New Roman"/>
          <w:i/>
          <w:iCs/>
        </w:rPr>
        <w:t>. (2011) alapján saját szerkesztés</w:t>
      </w:r>
    </w:p>
    <w:p w14:paraId="1EF99D01" w14:textId="77777777" w:rsidR="007D587C" w:rsidRPr="000F45B4" w:rsidRDefault="007D587C" w:rsidP="007D587C">
      <w:pPr>
        <w:rPr>
          <w:rFonts w:ascii="Times New Roman" w:hAnsi="Times New Roman" w:cs="Times New Roman"/>
        </w:rPr>
      </w:pPr>
    </w:p>
    <w:p w14:paraId="6908ED2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Az elmélet a munkavállaló és a szervezet közötti kölcsönös bizalmat helyezi a középpontba, amely abban az esetben tud kialakulni, ha a menedzsment biztosítja a dolgozók szükségleteinek kielégítését a modellben megnevezett dimenziók mentén.</w:t>
      </w:r>
    </w:p>
    <w:p w14:paraId="167FD1E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 xml:space="preserve">munka és a magánélet egyensúlyát célzó </w:t>
      </w:r>
      <w:r w:rsidRPr="000F45B4">
        <w:rPr>
          <w:rFonts w:ascii="Times New Roman" w:eastAsia="Calibri" w:hAnsi="Times New Roman" w:cs="Times New Roman"/>
        </w:rPr>
        <w:t xml:space="preserve">intézkedések olyan munkamódszerekre vonatkoznak, amelyek segítik a munkavállalókat abban, hogy egyensúlyt teremtsenek a foglalkoztatás (munka, karrier, ambíciók) és a magánélet (család, szabadidő, szórakozás stb.) között, ami összességében optimális életminőséghez vezet. </w:t>
      </w:r>
    </w:p>
    <w:p w14:paraId="40A57798"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munkafeltételek</w:t>
      </w:r>
      <w:r w:rsidRPr="000F45B4">
        <w:rPr>
          <w:rFonts w:ascii="Times New Roman" w:eastAsia="Calibri" w:hAnsi="Times New Roman" w:cs="Times New Roman"/>
        </w:rPr>
        <w:t xml:space="preserve"> a szervezet által nyújtott javadalmazásra és juttatásokra, a munkavállaló foglalkoztatási státuszára, a munkahely biztonságára, a munkavállalót védő jogi keretre, valamint a vállalaton belüli támogatási rendszerekre vonatkoznak.</w:t>
      </w:r>
    </w:p>
    <w:p w14:paraId="26E9DDC8"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munkakörnyezet</w:t>
      </w:r>
      <w:r w:rsidRPr="000F45B4">
        <w:rPr>
          <w:rFonts w:ascii="Times New Roman" w:eastAsia="Calibri" w:hAnsi="Times New Roman" w:cs="Times New Roman"/>
        </w:rPr>
        <w:t xml:space="preserve"> a fizikai munkahelyet, a megfelelő technológiai és kommunikációs eszközök elérhetőségét, a munkahelyi biztonságot és védelmet, a munkahely tisztaságát és ergonómiáját, a zajszintet és a világítást, a munkahelyi étkezés elérhetőségét, a tömegközlekedési eszközök, üzletek és létesítmények közelségét jelentik.</w:t>
      </w:r>
    </w:p>
    <w:p w14:paraId="74EE1A2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minőségi munka és fejlődés</w:t>
      </w:r>
      <w:r w:rsidRPr="000F45B4">
        <w:rPr>
          <w:rFonts w:ascii="Times New Roman" w:eastAsia="Calibri" w:hAnsi="Times New Roman" w:cs="Times New Roman"/>
        </w:rPr>
        <w:t xml:space="preserve"> magára a munkakörre, a szervezeten belüli </w:t>
      </w:r>
      <w:proofErr w:type="spellStart"/>
      <w:r w:rsidRPr="000F45B4">
        <w:rPr>
          <w:rFonts w:ascii="Times New Roman" w:eastAsia="Calibri" w:hAnsi="Times New Roman" w:cs="Times New Roman"/>
        </w:rPr>
        <w:t>előrelépési</w:t>
      </w:r>
      <w:proofErr w:type="spellEnd"/>
      <w:r w:rsidRPr="000F45B4">
        <w:rPr>
          <w:rFonts w:ascii="Times New Roman" w:eastAsia="Calibri" w:hAnsi="Times New Roman" w:cs="Times New Roman"/>
        </w:rPr>
        <w:t xml:space="preserve">, valamint képzési és fejlesztési lehetőségekre vonatkozik. A munkakört úgy kell megtervezni, hogy lehetővé tegye a tartós </w:t>
      </w:r>
      <w:r w:rsidRPr="000F45B4">
        <w:rPr>
          <w:rFonts w:ascii="Times New Roman" w:eastAsia="Calibri" w:hAnsi="Times New Roman" w:cs="Times New Roman"/>
        </w:rPr>
        <w:lastRenderedPageBreak/>
        <w:t xml:space="preserve">érdeklődés fenntartását és a változatosságot. Az egyén idővel történő fejlesztésére pedig egy hosszú távú befektetésként érdemes gondolni, amely a megfelelő kompetenciák elsajátítása révén biztosítja a munkában való kiteljesedést érzését. </w:t>
      </w:r>
    </w:p>
    <w:p w14:paraId="6D6DEB2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megbecsülés és ösztönzés</w:t>
      </w:r>
      <w:r w:rsidRPr="000F45B4">
        <w:rPr>
          <w:rFonts w:ascii="Times New Roman" w:eastAsia="Calibri" w:hAnsi="Times New Roman" w:cs="Times New Roman"/>
        </w:rPr>
        <w:t xml:space="preserve"> arra utal, hogy a szervezet céljait és értékeit támogató magatartást utólag el kell ismerni (ez az elismerés lehet formális vagy informális), továbbá a konkrét teljesítménycélokhoz célszerű jutalmakat kötni.</w:t>
      </w:r>
    </w:p>
    <w:p w14:paraId="2CE2748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w:t>
      </w:r>
      <w:r w:rsidRPr="000F45B4">
        <w:rPr>
          <w:rFonts w:ascii="Times New Roman" w:eastAsia="Calibri" w:hAnsi="Times New Roman" w:cs="Times New Roman"/>
          <w:i/>
          <w:iCs/>
        </w:rPr>
        <w:t>egyértelmű célok és visszajelzés</w:t>
      </w:r>
      <w:r w:rsidRPr="000F45B4">
        <w:rPr>
          <w:rFonts w:ascii="Times New Roman" w:eastAsia="Calibri" w:hAnsi="Times New Roman" w:cs="Times New Roman"/>
        </w:rPr>
        <w:t xml:space="preserve"> a konkrét célok kitűzésének folyamatára utal. A célmeghatározás ideális esetben magában foglalja a kihívást jelentő, de elérhető konkrét célok meghatározását, határidők és számszerűsíthető intézkedések beépítését, valamint visszajelzést a feladat során és annak elvégzése után, hogy a dolgozók mérni és szükség esetén módosítani tudják viselkedésüket.</w:t>
      </w:r>
    </w:p>
    <w:p w14:paraId="069E598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Lényeges kérdés, hogy a munkavállalók mennyire tudnak azonosulni a szervezet </w:t>
      </w:r>
      <w:r w:rsidRPr="000F45B4">
        <w:rPr>
          <w:rFonts w:ascii="Times New Roman" w:eastAsia="Calibri" w:hAnsi="Times New Roman" w:cs="Times New Roman"/>
          <w:i/>
          <w:iCs/>
        </w:rPr>
        <w:t>missziójával és víziójával</w:t>
      </w:r>
      <w:r w:rsidRPr="000F45B4">
        <w:rPr>
          <w:rFonts w:ascii="Times New Roman" w:eastAsia="Calibri" w:hAnsi="Times New Roman" w:cs="Times New Roman"/>
        </w:rPr>
        <w:t xml:space="preserve">, az ugyanis nagyban meghatározza a munkahelyi teljesítésüket és viselkedésüket. Fontos ezért, hogy a menedzsment egyértelműen fogalmazza meg a szervezet célját és jövőképét, s azt folyamatosan kommunikálja a dolgozók felé. </w:t>
      </w:r>
    </w:p>
    <w:p w14:paraId="03DC959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 xml:space="preserve">kultúra </w:t>
      </w:r>
      <w:r w:rsidRPr="000F45B4">
        <w:rPr>
          <w:rFonts w:ascii="Times New Roman" w:eastAsia="Calibri" w:hAnsi="Times New Roman" w:cs="Times New Roman"/>
        </w:rPr>
        <w:t>a gondolkodásmód, a hiedelmek és az értékek általános mintájaként határozható meg, amelyek összetartják a szervezetet és inspirálják az embereket. Célszerű tehát annak hangsúlyozása is, hogy a vállalat vezetői milyen múltbéli tapasztalatok és értékek mentén hozza meg a döntéseit és kívánja elérni a kitűzött célokat.</w:t>
      </w:r>
    </w:p>
    <w:p w14:paraId="40646327"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személyes kapcsolatok</w:t>
      </w:r>
      <w:r w:rsidRPr="000F45B4">
        <w:rPr>
          <w:rFonts w:ascii="Times New Roman" w:eastAsia="Calibri" w:hAnsi="Times New Roman" w:cs="Times New Roman"/>
        </w:rPr>
        <w:t xml:space="preserve"> dimenziója magába foglalja a dolgozók összes munkahelyi kapcsolatát, legyen az ügyfél, munkatárs vagy vezető.</w:t>
      </w:r>
    </w:p>
    <w:p w14:paraId="663CB512" w14:textId="77777777" w:rsidR="007D587C" w:rsidRPr="000F45B4" w:rsidRDefault="007D587C" w:rsidP="007D587C">
      <w:pPr>
        <w:jc w:val="both"/>
        <w:rPr>
          <w:rFonts w:ascii="Times New Roman" w:eastAsia="Calibri" w:hAnsi="Times New Roman" w:cs="Times New Roman"/>
        </w:rPr>
      </w:pPr>
    </w:p>
    <w:p w14:paraId="41FB4E94"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610251D7"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Ahogyan arra a modell bemutatásakor is felhívtuk a figyelmet, a 9M modell gyakorlati aspektusból, a szükségletekhez kapcsolódó szervezeti tényezők szemszögéből ragadja meg a motivációt, így lehetőséget biztosít arra is, hogy a szervezetek átültessék a 9 dimenziót a munkavállalói (elégedettségmérő) kérdőívekbe. Hazánkban Farkas és szerzőtársai (2013) végeztek a 9M modell alapján vizsgálatokat, a reprezentatív felmérésük keretében a 9 tényezőt két szempontból vizsgálták: mennyire jellemző a munkahelyen és mennyire fontos az egyénnek. Az eredmények szerint a magyar munkavállalók a munkahelyi légkört és bánásmódot (személyes kapcsolatok), a munkahely megtartásának biztonságát, jövőjét (munkafeltételek), a versenyképes fizetést és anyagi juttatásokat (munkafeltételek), a méltányos és igazságos díjazást (megbecsülés és ösztönzés), megfelelő munkatársi kapcsolatok és csapat (személyes kapcsolatok) tartják a legfontosabb motivációs tényezőknek.</w:t>
      </w:r>
    </w:p>
    <w:p w14:paraId="310A8949" w14:textId="01D8B3A2" w:rsidR="00E2366A" w:rsidRDefault="00E2366A" w:rsidP="007D587C">
      <w:pPr>
        <w:rPr>
          <w:rFonts w:ascii="Times New Roman" w:eastAsia="Calibri" w:hAnsi="Times New Roman" w:cs="Times New Roman"/>
        </w:rPr>
      </w:pPr>
      <w:r>
        <w:rPr>
          <w:rFonts w:ascii="Times New Roman" w:eastAsia="Calibri" w:hAnsi="Times New Roman" w:cs="Times New Roman"/>
        </w:rPr>
        <w:br w:type="page"/>
      </w:r>
    </w:p>
    <w:p w14:paraId="7C4189BC" w14:textId="77777777" w:rsidR="007D587C" w:rsidRPr="000F45B4" w:rsidRDefault="007D587C" w:rsidP="00445121">
      <w:pPr>
        <w:pStyle w:val="Cmsor1"/>
        <w:numPr>
          <w:ilvl w:val="0"/>
          <w:numId w:val="40"/>
        </w:numPr>
        <w:spacing w:after="120" w:line="240" w:lineRule="auto"/>
        <w:jc w:val="both"/>
        <w:rPr>
          <w:rFonts w:ascii="Times New Roman" w:hAnsi="Times New Roman" w:cs="Times New Roman"/>
        </w:rPr>
      </w:pPr>
      <w:bookmarkStart w:id="270" w:name="_Toc145962989"/>
      <w:bookmarkStart w:id="271" w:name="_Toc118749529"/>
      <w:r w:rsidRPr="000F45B4">
        <w:rPr>
          <w:rFonts w:ascii="Times New Roman" w:hAnsi="Times New Roman" w:cs="Times New Roman"/>
        </w:rPr>
        <w:lastRenderedPageBreak/>
        <w:t>A teljesítményfokozás motivációs kérdései II.</w:t>
      </w:r>
      <w:bookmarkEnd w:id="270"/>
    </w:p>
    <w:p w14:paraId="794DF7CA"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272" w:name="_Toc145962990"/>
      <w:r w:rsidRPr="000F45B4">
        <w:rPr>
          <w:rFonts w:ascii="Times New Roman" w:hAnsi="Times New Roman" w:cs="Times New Roman"/>
        </w:rPr>
        <w:t>A motiváció folyamatelméletei</w:t>
      </w:r>
      <w:bookmarkEnd w:id="271"/>
      <w:bookmarkEnd w:id="272"/>
    </w:p>
    <w:p w14:paraId="3F28026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motiváció folyamatelméletei – ahogyan arra a fentiekben is utaltunk – arra a kérdésre keresik a választ, hogy az emberek hogyan választanak viselkedést a szükségleteik kielégítése érdekében. Ezek az elméletek bizonyos szempontból túlmutatnak a tartalomelméleteken, azok ugyanis kizárólag a szükségletek azonosításával és megértésével foglalkoznak. </w:t>
      </w:r>
    </w:p>
    <w:p w14:paraId="7CF04922"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73" w:name="_Toc145363820"/>
      <w:bookmarkStart w:id="274" w:name="_Toc145363892"/>
      <w:bookmarkStart w:id="275" w:name="_Toc145363948"/>
      <w:bookmarkStart w:id="276" w:name="_Toc145364488"/>
      <w:bookmarkStart w:id="277" w:name="_Toc118749530"/>
      <w:bookmarkStart w:id="278" w:name="_Toc145962991"/>
      <w:bookmarkEnd w:id="273"/>
      <w:bookmarkEnd w:id="274"/>
      <w:bookmarkEnd w:id="275"/>
      <w:bookmarkEnd w:id="276"/>
      <w:r w:rsidRPr="000F45B4">
        <w:rPr>
          <w:rFonts w:ascii="Times New Roman" w:hAnsi="Times New Roman" w:cs="Times New Roman"/>
        </w:rPr>
        <w:t>Elváráselmélet</w:t>
      </w:r>
      <w:bookmarkEnd w:id="277"/>
      <w:bookmarkEnd w:id="278"/>
    </w:p>
    <w:p w14:paraId="29328DE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elváráselmélet Victor </w:t>
      </w:r>
      <w:proofErr w:type="spellStart"/>
      <w:r w:rsidRPr="000F45B4">
        <w:rPr>
          <w:rFonts w:ascii="Times New Roman" w:eastAsia="Calibri" w:hAnsi="Times New Roman" w:cs="Times New Roman"/>
        </w:rPr>
        <w:t>Vroom</w:t>
      </w:r>
      <w:proofErr w:type="spellEnd"/>
      <w:r w:rsidRPr="000F45B4">
        <w:rPr>
          <w:rFonts w:ascii="Times New Roman" w:eastAsia="Calibri" w:hAnsi="Times New Roman" w:cs="Times New Roman"/>
        </w:rPr>
        <w:t xml:space="preserve"> (1964) nevéhez fűződik, aki abból indult ki, hogy a motiváció a cselekedet következményében elérhető jutalom függvénye. Az elmélet lényegében azt állítja, hogy a munkaerő olyan viselkedések felé irányul, amelyekről az emberek azt hiszik, hogy a kívánt eredményekhez vezetnek. </w:t>
      </w:r>
    </w:p>
    <w:p w14:paraId="137A5D4A"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rPr>
        <w:t>Vroom</w:t>
      </w:r>
      <w:proofErr w:type="spellEnd"/>
      <w:r w:rsidRPr="000F45B4">
        <w:rPr>
          <w:rFonts w:ascii="Times New Roman" w:eastAsia="Calibri" w:hAnsi="Times New Roman" w:cs="Times New Roman"/>
        </w:rPr>
        <w:t xml:space="preserve"> szerint a motiváció az alábbi képlettel írható le: </w:t>
      </w:r>
    </w:p>
    <w:p w14:paraId="5859A437" w14:textId="77777777" w:rsidR="007D587C" w:rsidRPr="000F45B4" w:rsidRDefault="007D587C" w:rsidP="007D587C">
      <w:pPr>
        <w:jc w:val="both"/>
        <w:rPr>
          <w:rFonts w:ascii="Times New Roman" w:eastAsia="Calibri" w:hAnsi="Times New Roman" w:cs="Times New Roman"/>
        </w:rPr>
      </w:pPr>
    </w:p>
    <w:p w14:paraId="01FDC500"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rPr>
        <w:t>motiváció = várakozás X következmény X értékesség</w:t>
      </w:r>
    </w:p>
    <w:p w14:paraId="7F7B3D81" w14:textId="77777777" w:rsidR="007D587C" w:rsidRPr="000F45B4" w:rsidRDefault="007D587C" w:rsidP="007D587C">
      <w:pPr>
        <w:rPr>
          <w:rFonts w:ascii="Times New Roman" w:eastAsia="Calibri" w:hAnsi="Times New Roman" w:cs="Times New Roman"/>
        </w:rPr>
      </w:pPr>
    </w:p>
    <w:p w14:paraId="35F37A0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képletben minhárom változónak teljesülnie kell ahhoz, hogy a motiváció létrejöjjön:</w:t>
      </w:r>
    </w:p>
    <w:p w14:paraId="589D01D5" w14:textId="77777777" w:rsidR="007D587C" w:rsidRPr="000F45B4" w:rsidRDefault="007D587C" w:rsidP="00445121">
      <w:pPr>
        <w:numPr>
          <w:ilvl w:val="0"/>
          <w:numId w:val="5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várakozás</w:t>
      </w:r>
      <w:r w:rsidRPr="000F45B4">
        <w:rPr>
          <w:rFonts w:ascii="Times New Roman" w:eastAsia="Calibri" w:hAnsi="Times New Roman" w:cs="Times New Roman"/>
        </w:rPr>
        <w:t xml:space="preserve"> a munkavállalók azzal kapcsolatos feltételezése, hogy az erőfeszítései várhatóan milyen teljesítményt eredményeznek majd. A képletben a várakozás -1 és +1 közötti értéket vehet fel. Az érték -1 abban az esetben, ha a dolgozó úgy gondolja, hogy még a legnagyobb erőfeszítései ellenére sem fogja tudni elvégezni a feladatot; +1 akkor, ha teljesen biztos benne, hogy kiváló teljesítménnyel tudja zárni a munkát. </w:t>
      </w:r>
    </w:p>
    <w:p w14:paraId="1A5C376D" w14:textId="77777777" w:rsidR="007D587C" w:rsidRPr="000F45B4" w:rsidRDefault="007D587C" w:rsidP="00445121">
      <w:pPr>
        <w:numPr>
          <w:ilvl w:val="0"/>
          <w:numId w:val="5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következmény</w:t>
      </w:r>
      <w:r w:rsidRPr="000F45B4">
        <w:rPr>
          <w:rFonts w:ascii="Times New Roman" w:eastAsia="Calibri" w:hAnsi="Times New Roman" w:cs="Times New Roman"/>
        </w:rPr>
        <w:t xml:space="preserve"> az azzal kapcsolatos valószínűséget írja le, hogy a munkavállaló által tanúsított teljesítmény milyen eredményhez vezet majd, pontosabban mi lesz a teljesítmény kompenzációja. Hasonlóan a várakozáshoz, ez is -1 és +1 közötti értéket vehet fel. Az értéke +1, ha a dolgozó úgy gondolja, hogy a teljesítménynek vélhetően biztosan meglesz az eredménye (kompenzálása), -1 akkor, ha erre semmilyen esélyt nem lát a dolgozó. </w:t>
      </w:r>
    </w:p>
    <w:p w14:paraId="5EC70B6A" w14:textId="77777777" w:rsidR="007D587C" w:rsidRPr="000F45B4" w:rsidRDefault="007D587C" w:rsidP="00445121">
      <w:pPr>
        <w:numPr>
          <w:ilvl w:val="0"/>
          <w:numId w:val="54"/>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Az </w:t>
      </w:r>
      <w:r w:rsidRPr="000F45B4">
        <w:rPr>
          <w:rFonts w:ascii="Times New Roman" w:eastAsia="Calibri" w:hAnsi="Times New Roman" w:cs="Times New Roman"/>
          <w:i/>
          <w:iCs/>
        </w:rPr>
        <w:t xml:space="preserve">értékesség </w:t>
      </w:r>
      <w:r w:rsidRPr="000F45B4">
        <w:rPr>
          <w:rFonts w:ascii="Times New Roman" w:eastAsia="Calibri" w:hAnsi="Times New Roman" w:cs="Times New Roman"/>
        </w:rPr>
        <w:t xml:space="preserve">arra utal, hogy mennyire „értékes” a kilátásba helyezett eredmény, kompenzáció a munkavállaló számára, vagyis elégedettséget vagy elégedetlenséget vált-e ki belőle. Ez az érték ugyancsak leírható -1 és +1 közötti értékkel, de leírható akár egy 100-as skálával is. </w:t>
      </w:r>
    </w:p>
    <w:p w14:paraId="150DD1E7"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elváráselmélet gyakorlati alkalmazása leginkább a belső kontrollos munkavállalók esetében működik, ugyanis ők azok, akik abban hisznek, hogy a sorsukat saját maguk irányítják, így az erőfeszítéseikért jutalmakban fognak részesülni. </w:t>
      </w:r>
    </w:p>
    <w:p w14:paraId="4E3A5014" w14:textId="77777777" w:rsidR="007D587C" w:rsidRPr="000F45B4" w:rsidRDefault="007D587C" w:rsidP="007D587C">
      <w:pPr>
        <w:jc w:val="both"/>
        <w:rPr>
          <w:rFonts w:ascii="Times New Roman" w:eastAsia="Calibri" w:hAnsi="Times New Roman" w:cs="Times New Roman"/>
        </w:rPr>
      </w:pPr>
    </w:p>
    <w:p w14:paraId="2E1EDBD8"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70E4B95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Annak érdekében, hogy az elmélet szerint motivációt érjünk el, az alábbiakra célszerű figyelmet fordítani:</w:t>
      </w:r>
    </w:p>
    <w:p w14:paraId="11A84B6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1. Világosan meg kell határozni a célokat és az elérésükhöz szükséges teljesítményt.</w:t>
      </w:r>
    </w:p>
    <w:p w14:paraId="00626D3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2. A teljesítményt jutalomhoz kell kötni. </w:t>
      </w:r>
    </w:p>
    <w:p w14:paraId="5B05926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3. A magas teljesítményt jutalmazni kell. Ha egy alkalmazott keményebben dolgozik, hogy többet termeljen, mint a többi alkalmazott, és nem kap jutalmat, akkor lelassíthatja a termelékenységet.</w:t>
      </w:r>
    </w:p>
    <w:p w14:paraId="7FCF548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lastRenderedPageBreak/>
        <w:t xml:space="preserve">3. A jutalmaknak értéket kell képviselniük a munkavállaló számára. Ehhez a vezetőknek egyénenként kell megismerniük a munkavállalókat. </w:t>
      </w:r>
    </w:p>
    <w:p w14:paraId="4FEBEEEE" w14:textId="77777777" w:rsidR="007D587C" w:rsidRPr="000F45B4" w:rsidRDefault="007D587C" w:rsidP="007D587C">
      <w:pPr>
        <w:rPr>
          <w:rFonts w:ascii="Times New Roman" w:eastAsia="Calibri" w:hAnsi="Times New Roman" w:cs="Times New Roman"/>
        </w:rPr>
      </w:pPr>
      <w:r w:rsidRPr="000F45B4">
        <w:rPr>
          <w:rFonts w:ascii="Times New Roman" w:eastAsia="Calibri" w:hAnsi="Times New Roman" w:cs="Times New Roman"/>
        </w:rPr>
        <w:t>4. Meg kell győződni róla, hogy az alkalmazottak hisznek abban, hogy megteszik, amit ígérnek. Például az alkalmazottaknak el kell hinniük, hogy Ön érdemi emelést ad nekik, ha valóban keményen dolgoznak. Ahhoz, hogy az alkalmazottak higgyenek Önnek, tartsa be, és mutassa meg nekik, hogy megteszi, amit mond (</w:t>
      </w:r>
      <w:proofErr w:type="spellStart"/>
      <w:r w:rsidRPr="000F45B4">
        <w:rPr>
          <w:rFonts w:ascii="Times New Roman" w:hAnsi="Times New Roman" w:cs="Times New Roman"/>
        </w:rPr>
        <w:t>Lussier</w:t>
      </w:r>
      <w:proofErr w:type="spellEnd"/>
      <w:r w:rsidRPr="000F45B4">
        <w:rPr>
          <w:rFonts w:ascii="Times New Roman" w:hAnsi="Times New Roman" w:cs="Times New Roman"/>
        </w:rPr>
        <w:t xml:space="preserve"> </w:t>
      </w:r>
      <w:r w:rsidRPr="000F45B4">
        <w:rPr>
          <w:rFonts w:ascii="Times New Roman" w:eastAsiaTheme="minorHAnsi" w:hAnsi="Times New Roman" w:cs="Times New Roman"/>
        </w:rPr>
        <w:t xml:space="preserve">&amp; </w:t>
      </w:r>
      <w:proofErr w:type="spellStart"/>
      <w:r w:rsidRPr="000F45B4">
        <w:rPr>
          <w:rFonts w:ascii="Times New Roman" w:hAnsi="Times New Roman" w:cs="Times New Roman"/>
        </w:rPr>
        <w:t>Aucha</w:t>
      </w:r>
      <w:proofErr w:type="spellEnd"/>
      <w:r w:rsidRPr="000F45B4">
        <w:rPr>
          <w:rFonts w:ascii="Times New Roman" w:hAnsi="Times New Roman" w:cs="Times New Roman"/>
        </w:rPr>
        <w:t>, 2015).</w:t>
      </w:r>
    </w:p>
    <w:p w14:paraId="2939F967"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79" w:name="_Toc145363822"/>
      <w:bookmarkStart w:id="280" w:name="_Toc145363894"/>
      <w:bookmarkStart w:id="281" w:name="_Toc145363950"/>
      <w:bookmarkStart w:id="282" w:name="_Toc145364490"/>
      <w:bookmarkStart w:id="283" w:name="_Toc118749531"/>
      <w:bookmarkStart w:id="284" w:name="_Toc145962992"/>
      <w:bookmarkEnd w:id="279"/>
      <w:bookmarkEnd w:id="280"/>
      <w:bookmarkEnd w:id="281"/>
      <w:bookmarkEnd w:id="282"/>
      <w:proofErr w:type="spellStart"/>
      <w:r w:rsidRPr="000F45B4">
        <w:rPr>
          <w:rFonts w:ascii="Times New Roman" w:hAnsi="Times New Roman" w:cs="Times New Roman"/>
        </w:rPr>
        <w:t>Méltányosságelmélet</w:t>
      </w:r>
      <w:bookmarkEnd w:id="283"/>
      <w:bookmarkEnd w:id="284"/>
      <w:proofErr w:type="spellEnd"/>
      <w:r w:rsidRPr="000F45B4">
        <w:rPr>
          <w:rFonts w:ascii="Times New Roman" w:hAnsi="Times New Roman" w:cs="Times New Roman"/>
        </w:rPr>
        <w:t xml:space="preserve"> </w:t>
      </w:r>
    </w:p>
    <w:p w14:paraId="3021AF33"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proofErr w:type="spellStart"/>
      <w:r w:rsidRPr="000F45B4">
        <w:rPr>
          <w:rFonts w:ascii="Times New Roman" w:eastAsia="Calibri" w:hAnsi="Times New Roman" w:cs="Times New Roman"/>
          <w:color w:val="000000" w:themeColor="text1"/>
        </w:rPr>
        <w:t>méltányosságelmélet</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Stacy</w:t>
      </w:r>
      <w:proofErr w:type="spellEnd"/>
      <w:r w:rsidRPr="000F45B4">
        <w:rPr>
          <w:rFonts w:ascii="Times New Roman" w:eastAsia="Calibri" w:hAnsi="Times New Roman" w:cs="Times New Roman"/>
        </w:rPr>
        <w:t xml:space="preserve"> Adams (1963) nevéhez fűződik. Az elmélet abból a feltételezésből indul ki, hogy a dolgozók folyamatosan összehasonlítják az általuk befektetett erőfeszítésekért (inputok) cserébe kapott kompenzáció (outputok) arányát mások (referenciaszemélyek) input-output arányával: OP/IP=OR/IR.</w:t>
      </w:r>
    </w:p>
    <w:p w14:paraId="174AF5A5"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inputok körébe tartozó tényezők például a munka elvégzése érdekében tett erőfeszítések, a megszerzett képzettségek, a szervezetnél eltöltött </w:t>
      </w:r>
      <w:proofErr w:type="gramStart"/>
      <w:r w:rsidRPr="000F45B4">
        <w:rPr>
          <w:rFonts w:ascii="Times New Roman" w:eastAsia="Calibri" w:hAnsi="Times New Roman" w:cs="Times New Roman"/>
        </w:rPr>
        <w:t>idő,</w:t>
      </w:r>
      <w:proofErr w:type="gramEnd"/>
      <w:r w:rsidRPr="000F45B4">
        <w:rPr>
          <w:rFonts w:ascii="Times New Roman" w:eastAsia="Calibri" w:hAnsi="Times New Roman" w:cs="Times New Roman"/>
        </w:rPr>
        <w:t xml:space="preserve"> stb.</w:t>
      </w:r>
    </w:p>
    <w:p w14:paraId="31BE84A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outputok olyan tényezők, mint például a besorolás szerinti bér, a teljesítménybér és egyéb anyagi ösztönzők, a rang, a beosztottak </w:t>
      </w:r>
      <w:proofErr w:type="gramStart"/>
      <w:r w:rsidRPr="000F45B4">
        <w:rPr>
          <w:rFonts w:ascii="Times New Roman" w:eastAsia="Calibri" w:hAnsi="Times New Roman" w:cs="Times New Roman"/>
        </w:rPr>
        <w:t>száma,</w:t>
      </w:r>
      <w:proofErr w:type="gramEnd"/>
      <w:r w:rsidRPr="000F45B4">
        <w:rPr>
          <w:rFonts w:ascii="Times New Roman" w:eastAsia="Calibri" w:hAnsi="Times New Roman" w:cs="Times New Roman"/>
        </w:rPr>
        <w:t xml:space="preserve"> stb.</w:t>
      </w:r>
    </w:p>
    <w:p w14:paraId="74F48A21"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Az elmélet szerint abban az esetben, ha a referenciaszemély input-output aránya megegyezik a dolgozó input-output arányával, az méltányosság érzését kelti a dolgozóban, ami a jelenlegi viselkedés folytatására motiválja őt. Abban az esetben, ha a munkavállaló méltánytalanságot érzékel, az belső feszültséget generál benne, amit az alábbi módokon oldhat fel:</w:t>
      </w:r>
    </w:p>
    <w:p w14:paraId="64641769" w14:textId="77777777" w:rsidR="007D587C" w:rsidRPr="000F45B4" w:rsidRDefault="007D587C" w:rsidP="00445121">
      <w:pPr>
        <w:numPr>
          <w:ilvl w:val="0"/>
          <w:numId w:val="55"/>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Változtat az inputon: csökkenti a teljesítményre irányuló erőfeszítéseket.</w:t>
      </w:r>
    </w:p>
    <w:p w14:paraId="6EE307E9" w14:textId="77777777" w:rsidR="007D587C" w:rsidRPr="000F45B4" w:rsidRDefault="007D587C" w:rsidP="00445121">
      <w:pPr>
        <w:numPr>
          <w:ilvl w:val="0"/>
          <w:numId w:val="55"/>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Változtat az outputon: több fizetést, kompenzációt kér.</w:t>
      </w:r>
    </w:p>
    <w:p w14:paraId="16B35DA6" w14:textId="77777777" w:rsidR="007D587C" w:rsidRPr="000F45B4" w:rsidRDefault="007D587C" w:rsidP="00445121">
      <w:pPr>
        <w:numPr>
          <w:ilvl w:val="0"/>
          <w:numId w:val="55"/>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Változtat a referenciaszemélyen: mással hasonlítja össze az input-output arányát.</w:t>
      </w:r>
    </w:p>
    <w:p w14:paraId="7A1C6146" w14:textId="77777777" w:rsidR="007D587C" w:rsidRPr="000F45B4" w:rsidRDefault="007D587C" w:rsidP="00445121">
      <w:pPr>
        <w:numPr>
          <w:ilvl w:val="0"/>
          <w:numId w:val="55"/>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Megpróbálja megváltoztatni a referenciaszemély inputját vagy outputját rábeszéli, hogy dolgozzon többet vagy megkéri a vezetőt, hogy fizessen neki kevesebbet. </w:t>
      </w:r>
    </w:p>
    <w:p w14:paraId="2DCCAE92" w14:textId="77777777" w:rsidR="007D587C" w:rsidRPr="000F45B4" w:rsidRDefault="007D587C" w:rsidP="00445121">
      <w:pPr>
        <w:numPr>
          <w:ilvl w:val="0"/>
          <w:numId w:val="55"/>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Mentálisan torzítja az összehasonlítást: megmagyarázza magának, hogy a méltánytalanság vélhetően csak átmeneti, vagy a referenciaszemély valójában sokkal többet dolgozik.</w:t>
      </w:r>
    </w:p>
    <w:p w14:paraId="2051DF59" w14:textId="77777777" w:rsidR="007D587C" w:rsidRPr="000F45B4" w:rsidRDefault="007D587C" w:rsidP="00445121">
      <w:pPr>
        <w:numPr>
          <w:ilvl w:val="0"/>
          <w:numId w:val="55"/>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Kilép a körülményekből: elhagyja a munkahelyet vagy áthelyezést kér.</w:t>
      </w:r>
    </w:p>
    <w:p w14:paraId="7FF217AB" w14:textId="77777777" w:rsidR="007D587C" w:rsidRPr="000F45B4" w:rsidRDefault="007D587C" w:rsidP="007D587C">
      <w:pPr>
        <w:jc w:val="both"/>
        <w:rPr>
          <w:rFonts w:ascii="Times New Roman" w:eastAsia="Calibri" w:hAnsi="Times New Roman" w:cs="Times New Roman"/>
        </w:rPr>
      </w:pPr>
    </w:p>
    <w:p w14:paraId="0583001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méltányosság-elmélettel kapcsolatos új kutatási eredmények arra hívják fel a figyelmet, hogy háromféle egyéntípus létezik, akik különböző preferenciákkal rendelkeznek a méltányosság érzése tekintetében. A </w:t>
      </w:r>
      <w:r w:rsidRPr="000F45B4">
        <w:rPr>
          <w:rFonts w:ascii="Times New Roman" w:eastAsia="Calibri" w:hAnsi="Times New Roman" w:cs="Times New Roman"/>
          <w:i/>
          <w:iCs/>
        </w:rPr>
        <w:t>jóindulatúak</w:t>
      </w:r>
      <w:r w:rsidRPr="000F45B4">
        <w:rPr>
          <w:rFonts w:ascii="Times New Roman" w:eastAsia="Calibri" w:hAnsi="Times New Roman" w:cs="Times New Roman"/>
        </w:rPr>
        <w:t xml:space="preserve"> azok a munkavállalók, akiknek megfelel egy olyan input-output arány, amely kisebb, mint a </w:t>
      </w:r>
      <w:proofErr w:type="spellStart"/>
      <w:r w:rsidRPr="000F45B4">
        <w:rPr>
          <w:rFonts w:ascii="Times New Roman" w:eastAsia="Calibri" w:hAnsi="Times New Roman" w:cs="Times New Roman"/>
        </w:rPr>
        <w:t>prefenciaszemélyeké</w:t>
      </w:r>
      <w:proofErr w:type="spellEnd"/>
      <w:r w:rsidRPr="000F45B4">
        <w:rPr>
          <w:rFonts w:ascii="Times New Roman" w:eastAsia="Calibri" w:hAnsi="Times New Roman" w:cs="Times New Roman"/>
        </w:rPr>
        <w:t xml:space="preserve">. Az ilyen alkalmazottak önzetlenek és szívesen vállalják önként a kollégák helyettesítését, valamint extra erőfeszítéseket tesznek az egység céljainak elérése érdekében. A </w:t>
      </w:r>
      <w:r w:rsidRPr="000F45B4">
        <w:rPr>
          <w:rFonts w:ascii="Times New Roman" w:eastAsia="Calibri" w:hAnsi="Times New Roman" w:cs="Times New Roman"/>
          <w:i/>
          <w:iCs/>
        </w:rPr>
        <w:t>méltányosság-érzékenyek</w:t>
      </w:r>
      <w:r w:rsidRPr="000F45B4">
        <w:rPr>
          <w:rFonts w:ascii="Times New Roman" w:eastAsia="Calibri" w:hAnsi="Times New Roman" w:cs="Times New Roman"/>
        </w:rPr>
        <w:t xml:space="preserve"> azok a dolgozók, akik szigorúan vizsgálják az input-output arányt a munkahelyen és törekszenek az egyensúlyra. A </w:t>
      </w:r>
      <w:r w:rsidRPr="000F45B4">
        <w:rPr>
          <w:rFonts w:ascii="Times New Roman" w:eastAsia="Calibri" w:hAnsi="Times New Roman" w:cs="Times New Roman"/>
          <w:i/>
          <w:iCs/>
        </w:rPr>
        <w:t>jogosultak</w:t>
      </w:r>
      <w:r w:rsidRPr="000F45B4">
        <w:rPr>
          <w:rFonts w:ascii="Times New Roman" w:eastAsia="Calibri" w:hAnsi="Times New Roman" w:cs="Times New Roman"/>
        </w:rPr>
        <w:t xml:space="preserve"> pedig azok, akiknek megfelel egy olyan méltányossági arány, amelyben az ő input-output arányuk meghaladja a referenciaszemélyekét. Egyes kutatók ezeket az egyéneket "lógósoknak" tekintik, akik szívesen elfogadják a többletjutalmakat anélkül, hogy vágyat éreznének arra, hogy több erőfeszítést tegyenek a szervezet vagy a munkacsoportjuk érdekében (</w:t>
      </w:r>
      <w:proofErr w:type="spellStart"/>
      <w:r w:rsidRPr="000F45B4">
        <w:rPr>
          <w:rFonts w:ascii="Times New Roman" w:eastAsia="Calibri" w:hAnsi="Times New Roman" w:cs="Times New Roman"/>
        </w:rPr>
        <w:t>Dailey</w:t>
      </w:r>
      <w:proofErr w:type="spellEnd"/>
      <w:r w:rsidRPr="000F45B4">
        <w:rPr>
          <w:rFonts w:ascii="Times New Roman" w:eastAsia="Calibri" w:hAnsi="Times New Roman" w:cs="Times New Roman"/>
        </w:rPr>
        <w:t>, 2016).</w:t>
      </w:r>
    </w:p>
    <w:p w14:paraId="0DA868A0" w14:textId="77777777" w:rsidR="007D587C" w:rsidRPr="000F45B4" w:rsidRDefault="007D587C" w:rsidP="007D587C">
      <w:pPr>
        <w:jc w:val="both"/>
        <w:rPr>
          <w:rFonts w:ascii="Times New Roman" w:eastAsia="Calibri" w:hAnsi="Times New Roman" w:cs="Times New Roman"/>
        </w:rPr>
      </w:pPr>
    </w:p>
    <w:p w14:paraId="10C280EB"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méltányosság-elméletre épülve, azt </w:t>
      </w:r>
      <w:proofErr w:type="spellStart"/>
      <w:r w:rsidRPr="000F45B4">
        <w:rPr>
          <w:rFonts w:ascii="Times New Roman" w:eastAsia="Calibri" w:hAnsi="Times New Roman" w:cs="Times New Roman"/>
        </w:rPr>
        <w:t>továbbgondolva</w:t>
      </w:r>
      <w:proofErr w:type="spellEnd"/>
      <w:r w:rsidRPr="000F45B4">
        <w:rPr>
          <w:rFonts w:ascii="Times New Roman" w:eastAsia="Calibri" w:hAnsi="Times New Roman" w:cs="Times New Roman"/>
        </w:rPr>
        <w:t xml:space="preserve"> született meg a </w:t>
      </w:r>
      <w:r w:rsidRPr="000F45B4">
        <w:rPr>
          <w:rFonts w:ascii="Times New Roman" w:eastAsia="Calibri" w:hAnsi="Times New Roman" w:cs="Times New Roman"/>
          <w:b/>
          <w:bCs/>
          <w:i/>
          <w:iCs/>
        </w:rPr>
        <w:t>szervezeti igazságosság</w:t>
      </w:r>
      <w:r w:rsidRPr="000F45B4">
        <w:rPr>
          <w:rFonts w:ascii="Times New Roman" w:eastAsia="Calibri" w:hAnsi="Times New Roman" w:cs="Times New Roman"/>
        </w:rPr>
        <w:t xml:space="preserve"> fogalma a szervezetpszichológiában. A szervezeti igazságosság arra összpontosít, hogy a munkavállalók mennyire értékelik igazságosnak a szervezet viselkedését, és ez a viselkedés hogyan kapcsolódik a szervezettel kapcsolatos attitűdjeikhez és viselkedésükhöz (</w:t>
      </w:r>
      <w:proofErr w:type="spellStart"/>
      <w:r w:rsidRPr="000F45B4">
        <w:rPr>
          <w:rFonts w:ascii="Times New Roman" w:eastAsia="Calibri" w:hAnsi="Times New Roman" w:cs="Times New Roman"/>
        </w:rPr>
        <w:t>Greenberg</w:t>
      </w:r>
      <w:proofErr w:type="spellEnd"/>
      <w:r w:rsidRPr="000F45B4">
        <w:rPr>
          <w:rFonts w:ascii="Times New Roman" w:eastAsia="Calibri" w:hAnsi="Times New Roman" w:cs="Times New Roman"/>
        </w:rPr>
        <w:t>, 1987). Az elmélet szerint a szervezeti igazságosságnak három komponense van (12. ábra).</w:t>
      </w:r>
    </w:p>
    <w:p w14:paraId="10D87318" w14:textId="77777777" w:rsidR="007D587C" w:rsidRPr="000F45B4" w:rsidRDefault="007D587C" w:rsidP="007D587C">
      <w:pPr>
        <w:jc w:val="both"/>
        <w:rPr>
          <w:rFonts w:ascii="Times New Roman" w:eastAsia="Calibri" w:hAnsi="Times New Roman" w:cs="Times New Roman"/>
        </w:rPr>
      </w:pPr>
    </w:p>
    <w:p w14:paraId="5AC40A47" w14:textId="77777777" w:rsidR="007D587C" w:rsidRPr="000F45B4" w:rsidRDefault="007D587C" w:rsidP="007D587C">
      <w:pPr>
        <w:jc w:val="center"/>
        <w:rPr>
          <w:rFonts w:ascii="Times New Roman" w:eastAsia="Calibri" w:hAnsi="Times New Roman" w:cs="Times New Roman"/>
        </w:rPr>
      </w:pPr>
      <w:r w:rsidRPr="000F45B4">
        <w:rPr>
          <w:rFonts w:ascii="Times New Roman" w:eastAsia="Calibri" w:hAnsi="Times New Roman" w:cs="Times New Roman"/>
          <w:noProof/>
        </w:rPr>
        <w:drawing>
          <wp:inline distT="0" distB="0" distL="0" distR="0" wp14:anchorId="764E5534" wp14:editId="362794A4">
            <wp:extent cx="2375338" cy="2226879"/>
            <wp:effectExtent l="0" t="0" r="0" b="0"/>
            <wp:docPr id="1810008269" name="Kép 1810008269" descr="A képen szöveg, Betűtípus, kör,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69" name="Kép 1810008269" descr="A képen szöveg, Betűtípus, kör, képernyőkép látható&#10;&#10;Automatikusan generált leírás"/>
                    <pic:cNvPicPr/>
                  </pic:nvPicPr>
                  <pic:blipFill>
                    <a:blip r:embed="rId54"/>
                    <a:stretch>
                      <a:fillRect/>
                    </a:stretch>
                  </pic:blipFill>
                  <pic:spPr>
                    <a:xfrm>
                      <a:off x="0" y="0"/>
                      <a:ext cx="2375791" cy="2227303"/>
                    </a:xfrm>
                    <a:prstGeom prst="rect">
                      <a:avLst/>
                    </a:prstGeom>
                  </pic:spPr>
                </pic:pic>
              </a:graphicData>
            </a:graphic>
          </wp:inline>
        </w:drawing>
      </w:r>
    </w:p>
    <w:p w14:paraId="2DCB263A" w14:textId="77777777" w:rsidR="007D587C" w:rsidRPr="000F45B4" w:rsidRDefault="007D587C" w:rsidP="007D587C">
      <w:pPr>
        <w:ind w:left="360"/>
        <w:contextualSpacing/>
        <w:jc w:val="center"/>
        <w:rPr>
          <w:rFonts w:ascii="Times New Roman" w:eastAsia="Calibri" w:hAnsi="Times New Roman" w:cs="Times New Roman"/>
        </w:rPr>
      </w:pPr>
    </w:p>
    <w:p w14:paraId="65865024" w14:textId="77777777" w:rsidR="007D587C" w:rsidRPr="000F45B4" w:rsidRDefault="007D587C" w:rsidP="007D587C">
      <w:pPr>
        <w:ind w:left="360"/>
        <w:contextualSpacing/>
        <w:jc w:val="center"/>
        <w:rPr>
          <w:rFonts w:ascii="Times New Roman" w:eastAsia="Calibri" w:hAnsi="Times New Roman" w:cs="Times New Roman"/>
        </w:rPr>
      </w:pPr>
      <w:r w:rsidRPr="000F45B4">
        <w:rPr>
          <w:rFonts w:ascii="Times New Roman" w:eastAsia="Calibri" w:hAnsi="Times New Roman" w:cs="Times New Roman"/>
        </w:rPr>
        <w:t>12. ábra: A szervezeti igazságosság komponensei</w:t>
      </w:r>
    </w:p>
    <w:p w14:paraId="6CBD6372" w14:textId="77777777" w:rsidR="007D587C" w:rsidRPr="000F45B4" w:rsidRDefault="007D587C" w:rsidP="007D587C">
      <w:pPr>
        <w:jc w:val="center"/>
        <w:rPr>
          <w:rFonts w:ascii="Times New Roman" w:eastAsia="Calibri" w:hAnsi="Times New Roman" w:cs="Times New Roman"/>
          <w:i/>
          <w:iCs/>
          <w:sz w:val="20"/>
          <w:szCs w:val="20"/>
        </w:rPr>
      </w:pPr>
      <w:r w:rsidRPr="000F45B4">
        <w:rPr>
          <w:rFonts w:ascii="Times New Roman" w:eastAsia="Calibri" w:hAnsi="Times New Roman" w:cs="Times New Roman"/>
          <w:i/>
          <w:iCs/>
          <w:sz w:val="20"/>
          <w:szCs w:val="20"/>
        </w:rPr>
        <w:t xml:space="preserve">Forrás: </w:t>
      </w:r>
      <w:proofErr w:type="spellStart"/>
      <w:r w:rsidRPr="000F45B4">
        <w:rPr>
          <w:rFonts w:ascii="Times New Roman" w:eastAsia="Calibri" w:hAnsi="Times New Roman" w:cs="Times New Roman"/>
          <w:i/>
          <w:iCs/>
          <w:sz w:val="20"/>
          <w:szCs w:val="20"/>
        </w:rPr>
        <w:t>Colquitt</w:t>
      </w:r>
      <w:proofErr w:type="spellEnd"/>
      <w:r w:rsidRPr="000F45B4">
        <w:rPr>
          <w:rFonts w:ascii="Times New Roman" w:eastAsia="Calibri" w:hAnsi="Times New Roman" w:cs="Times New Roman"/>
          <w:i/>
          <w:iCs/>
          <w:sz w:val="20"/>
          <w:szCs w:val="20"/>
        </w:rPr>
        <w:t xml:space="preserve"> </w:t>
      </w:r>
      <w:proofErr w:type="spellStart"/>
      <w:r w:rsidRPr="000F45B4">
        <w:rPr>
          <w:rFonts w:ascii="Times New Roman" w:eastAsia="Calibri" w:hAnsi="Times New Roman" w:cs="Times New Roman"/>
          <w:i/>
          <w:iCs/>
          <w:sz w:val="20"/>
          <w:szCs w:val="20"/>
        </w:rPr>
        <w:t>et</w:t>
      </w:r>
      <w:proofErr w:type="spellEnd"/>
      <w:r w:rsidRPr="000F45B4">
        <w:rPr>
          <w:rFonts w:ascii="Times New Roman" w:eastAsia="Calibri" w:hAnsi="Times New Roman" w:cs="Times New Roman"/>
          <w:i/>
          <w:iCs/>
          <w:sz w:val="20"/>
          <w:szCs w:val="20"/>
        </w:rPr>
        <w:t xml:space="preserve"> </w:t>
      </w:r>
      <w:proofErr w:type="spellStart"/>
      <w:r w:rsidRPr="000F45B4">
        <w:rPr>
          <w:rFonts w:ascii="Times New Roman" w:eastAsia="Calibri" w:hAnsi="Times New Roman" w:cs="Times New Roman"/>
          <w:i/>
          <w:iCs/>
          <w:sz w:val="20"/>
          <w:szCs w:val="20"/>
        </w:rPr>
        <w:t>al</w:t>
      </w:r>
      <w:proofErr w:type="spellEnd"/>
      <w:r w:rsidRPr="000F45B4">
        <w:rPr>
          <w:rFonts w:ascii="Times New Roman" w:eastAsia="Calibri" w:hAnsi="Times New Roman" w:cs="Times New Roman"/>
          <w:i/>
          <w:iCs/>
          <w:sz w:val="20"/>
          <w:szCs w:val="20"/>
        </w:rPr>
        <w:t xml:space="preserve">. (2001) és </w:t>
      </w:r>
      <w:proofErr w:type="spellStart"/>
      <w:r w:rsidRPr="000F45B4">
        <w:rPr>
          <w:rFonts w:ascii="Times New Roman" w:eastAsia="Calibri" w:hAnsi="Times New Roman" w:cs="Times New Roman"/>
          <w:i/>
          <w:iCs/>
          <w:sz w:val="20"/>
          <w:szCs w:val="20"/>
        </w:rPr>
        <w:t>Colquitt</w:t>
      </w:r>
      <w:proofErr w:type="spellEnd"/>
      <w:r w:rsidRPr="000F45B4">
        <w:rPr>
          <w:rFonts w:ascii="Times New Roman" w:eastAsia="Calibri" w:hAnsi="Times New Roman" w:cs="Times New Roman"/>
          <w:i/>
          <w:iCs/>
          <w:sz w:val="20"/>
          <w:szCs w:val="20"/>
        </w:rPr>
        <w:t xml:space="preserve"> </w:t>
      </w:r>
      <w:proofErr w:type="spellStart"/>
      <w:r w:rsidRPr="000F45B4">
        <w:rPr>
          <w:rFonts w:ascii="Times New Roman" w:eastAsia="Calibri" w:hAnsi="Times New Roman" w:cs="Times New Roman"/>
          <w:i/>
          <w:iCs/>
          <w:sz w:val="20"/>
          <w:szCs w:val="20"/>
        </w:rPr>
        <w:t>et</w:t>
      </w:r>
      <w:proofErr w:type="spellEnd"/>
      <w:r w:rsidRPr="000F45B4">
        <w:rPr>
          <w:rFonts w:ascii="Times New Roman" w:eastAsia="Calibri" w:hAnsi="Times New Roman" w:cs="Times New Roman"/>
          <w:i/>
          <w:iCs/>
          <w:sz w:val="20"/>
          <w:szCs w:val="20"/>
        </w:rPr>
        <w:t xml:space="preserve"> </w:t>
      </w:r>
      <w:proofErr w:type="spellStart"/>
      <w:r w:rsidRPr="000F45B4">
        <w:rPr>
          <w:rFonts w:ascii="Times New Roman" w:eastAsia="Calibri" w:hAnsi="Times New Roman" w:cs="Times New Roman"/>
          <w:i/>
          <w:iCs/>
          <w:sz w:val="20"/>
          <w:szCs w:val="20"/>
        </w:rPr>
        <w:t>al</w:t>
      </w:r>
      <w:proofErr w:type="spellEnd"/>
      <w:r w:rsidRPr="000F45B4">
        <w:rPr>
          <w:rFonts w:ascii="Times New Roman" w:eastAsia="Calibri" w:hAnsi="Times New Roman" w:cs="Times New Roman"/>
          <w:i/>
          <w:iCs/>
          <w:sz w:val="20"/>
          <w:szCs w:val="20"/>
        </w:rPr>
        <w:t>. (2013) alapján saját szerkesztés</w:t>
      </w:r>
    </w:p>
    <w:p w14:paraId="389CFB9C" w14:textId="77777777" w:rsidR="007D587C" w:rsidRPr="000F45B4" w:rsidRDefault="007D587C" w:rsidP="007D587C">
      <w:pPr>
        <w:jc w:val="center"/>
        <w:rPr>
          <w:rFonts w:ascii="Times New Roman" w:eastAsia="Calibri" w:hAnsi="Times New Roman" w:cs="Times New Roman"/>
        </w:rPr>
      </w:pPr>
    </w:p>
    <w:p w14:paraId="796D586D"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w:t>
      </w:r>
      <w:r w:rsidRPr="000F45B4">
        <w:rPr>
          <w:rFonts w:ascii="Times New Roman" w:eastAsia="Calibri" w:hAnsi="Times New Roman" w:cs="Times New Roman"/>
          <w:i/>
          <w:iCs/>
        </w:rPr>
        <w:t>elosztási igazságosság</w:t>
      </w:r>
      <w:r w:rsidRPr="000F45B4">
        <w:rPr>
          <w:rFonts w:ascii="Times New Roman" w:eastAsia="Calibri" w:hAnsi="Times New Roman" w:cs="Times New Roman"/>
        </w:rPr>
        <w:t xml:space="preserve"> az erőforrások elosztásával (pl. pénz, juttatások, pozíció, dicséret) kapcsolatban érzett igazságosságot jelenti. Az elosztási igazságosság az erőforrások elosztásának három különböző racionalitása közül egyet vagy többet is magában foglalhat: méltányosság, egyenlőség és szükséglet. A méltányosság inkább arra összpontosít, hogy a munkavállalókat a hozzájárulásuk alapján jutalmazzák, és így kapitalista igazságosságnak tekinthető: az egyén inputjainak és eredményeinek aránya (az elosztási igazságosságnak ez az elosztása normája az, amely teljes mértékben megfeleltethető a méltányosság-elméletnek). Az egyenlőség ezzel szemben minden munkavállaló számára azonos kompenzációt biztosít, a szükséglet pedig a személyes szükségleten alapuló juttatás nyújtását jelenti.</w:t>
      </w:r>
    </w:p>
    <w:p w14:paraId="72E635B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w:t>
      </w:r>
      <w:r w:rsidRPr="000F45B4">
        <w:rPr>
          <w:rFonts w:ascii="Times New Roman" w:eastAsia="Calibri" w:hAnsi="Times New Roman" w:cs="Times New Roman"/>
          <w:i/>
          <w:iCs/>
        </w:rPr>
        <w:t>procedurális igazságosság</w:t>
      </w:r>
      <w:r w:rsidRPr="000F45B4">
        <w:rPr>
          <w:rFonts w:ascii="Times New Roman" w:eastAsia="Calibri" w:hAnsi="Times New Roman" w:cs="Times New Roman"/>
        </w:rPr>
        <w:t xml:space="preserve"> az eredmények (outputok) elosztására irányuló folyamatok és eljárások észlelt igazságosságát foglalja magába. A procedurális igazságosság hat fő pontot foglal magában, ezek a következetesség, az elfogultság hiánya, a pontosság, az összes érintett képviselete, a korrekciós lehetőség biztosítása és az etika.</w:t>
      </w:r>
    </w:p>
    <w:p w14:paraId="04A8CCA9"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w:t>
      </w:r>
      <w:r w:rsidRPr="000F45B4">
        <w:rPr>
          <w:rFonts w:ascii="Times New Roman" w:eastAsia="Calibri" w:hAnsi="Times New Roman" w:cs="Times New Roman"/>
          <w:i/>
          <w:iCs/>
        </w:rPr>
        <w:t>interakciós igazságosság</w:t>
      </w:r>
      <w:r w:rsidRPr="000F45B4">
        <w:rPr>
          <w:rFonts w:ascii="Times New Roman" w:eastAsia="Calibri" w:hAnsi="Times New Roman" w:cs="Times New Roman"/>
        </w:rPr>
        <w:t xml:space="preserve"> az azzal kapcsolatos bánásmódra utal, ahogyan a dolgozókat kezelik a döntések meghozatala során, és ahogyan a döntések okait és magyarázatát kommunikálják feléjük. Az interakciós igazságosság így két további komponensre osztható: interperszonális és információs igazságosságra. Előbbi a dolgozókkal kapcsolatos bánásmódra utal (mennyire tiszteletteljes és udvarias), utóbbi pedig a döntések mögött meghúzódó indítékok és információk megosztásának módját jelenti.</w:t>
      </w:r>
    </w:p>
    <w:p w14:paraId="5AC03500" w14:textId="77777777" w:rsidR="007D587C" w:rsidRPr="000F45B4" w:rsidRDefault="007D587C" w:rsidP="007D587C">
      <w:pPr>
        <w:rPr>
          <w:rFonts w:ascii="Times New Roman" w:eastAsia="Calibri" w:hAnsi="Times New Roman" w:cs="Times New Roman"/>
        </w:rPr>
      </w:pPr>
    </w:p>
    <w:p w14:paraId="1ABE3764"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0E5FAA8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méltányosság-elmélet felhívja a figyelmet arra, hogy a munkavállalók foglalkoznak azzal, hogy mások az erőfeszítéseikért milyen mértékű kompenzációt kapnak, s hajlamosak lehetnek arra is, hogy a saját eredményeik </w:t>
      </w:r>
      <w:proofErr w:type="spellStart"/>
      <w:r w:rsidRPr="000F45B4">
        <w:rPr>
          <w:rFonts w:ascii="Times New Roman" w:eastAsia="Calibri" w:hAnsi="Times New Roman" w:cs="Times New Roman"/>
        </w:rPr>
        <w:t>méltányosságát</w:t>
      </w:r>
      <w:proofErr w:type="spellEnd"/>
      <w:r w:rsidRPr="000F45B4">
        <w:rPr>
          <w:rFonts w:ascii="Times New Roman" w:eastAsia="Calibri" w:hAnsi="Times New Roman" w:cs="Times New Roman"/>
        </w:rPr>
        <w:t xml:space="preserve"> másokéhoz viszonyítva ítéljék meg. Lényeges ezért vezetőként:</w:t>
      </w:r>
    </w:p>
    <w:p w14:paraId="071CF307" w14:textId="77777777" w:rsidR="007D587C" w:rsidRPr="000F45B4" w:rsidRDefault="007D587C" w:rsidP="00445121">
      <w:pPr>
        <w:numPr>
          <w:ilvl w:val="0"/>
          <w:numId w:val="56"/>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Látni, hogy a jutalmak elosztását bizonyos munkavállalók pozitívan (jogosultak), míg mások negatívan (méltányosság-érzékenyek) értékelhetik.</w:t>
      </w:r>
    </w:p>
    <w:p w14:paraId="7CA4170D" w14:textId="77777777" w:rsidR="007D587C" w:rsidRPr="000F45B4" w:rsidRDefault="007D587C" w:rsidP="00445121">
      <w:pPr>
        <w:numPr>
          <w:ilvl w:val="0"/>
          <w:numId w:val="56"/>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Korrekten tájékoztatni a munkavállókat az elérhető anyagi jutalmakról és </w:t>
      </w:r>
      <w:proofErr w:type="spellStart"/>
      <w:r w:rsidRPr="000F45B4">
        <w:rPr>
          <w:rFonts w:ascii="Times New Roman" w:eastAsia="Calibri" w:hAnsi="Times New Roman" w:cs="Times New Roman"/>
        </w:rPr>
        <w:t>előrelépési</w:t>
      </w:r>
      <w:proofErr w:type="spellEnd"/>
      <w:r w:rsidRPr="000F45B4">
        <w:rPr>
          <w:rFonts w:ascii="Times New Roman" w:eastAsia="Calibri" w:hAnsi="Times New Roman" w:cs="Times New Roman"/>
        </w:rPr>
        <w:t xml:space="preserve"> lehetőségekről.</w:t>
      </w:r>
    </w:p>
    <w:p w14:paraId="3E1540D0" w14:textId="77777777" w:rsidR="007D587C" w:rsidRPr="000F45B4" w:rsidRDefault="007D587C" w:rsidP="00445121">
      <w:pPr>
        <w:numPr>
          <w:ilvl w:val="0"/>
          <w:numId w:val="56"/>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lastRenderedPageBreak/>
        <w:t>Átláthatóvá tenni a kompenzációs rendszert és azt meghatározó elvekről tájékoztatni a dolgozókat.</w:t>
      </w:r>
    </w:p>
    <w:p w14:paraId="50644567"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Amennyiben a vezető úgy érzékeli, hogy egy beosztott méltánytalannak tartja a munkájáért cserébe kapott kompenzációt és nincs lehetősége a korrekcióra, érdemes rávilágítania:</w:t>
      </w:r>
    </w:p>
    <w:p w14:paraId="31C75217" w14:textId="77777777" w:rsidR="007D587C" w:rsidRPr="000F45B4" w:rsidRDefault="007D587C" w:rsidP="00445121">
      <w:pPr>
        <w:numPr>
          <w:ilvl w:val="0"/>
          <w:numId w:val="57"/>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azokra a szervezeti és ágazati elvekre, amelyek alapján meghatározásra került a juttatás mértéke,</w:t>
      </w:r>
    </w:p>
    <w:p w14:paraId="46A515BF" w14:textId="77777777" w:rsidR="007D587C" w:rsidRPr="000F45B4" w:rsidRDefault="007D587C" w:rsidP="00445121">
      <w:pPr>
        <w:numPr>
          <w:ilvl w:val="0"/>
          <w:numId w:val="57"/>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dolgozó által nem, de a vezető részéről észlelt egyéb tényezőkre (pl. nem mindig tudjuk objektíven megítélni mások munkájának mennyiségét vagy minőségét, sokszor nem vagyunk tisztában azzal, hogy a közvetlen munkatársainknak mennyi és milyen jellegű feladataik vannak),</w:t>
      </w:r>
    </w:p>
    <w:p w14:paraId="46400E9D" w14:textId="77777777" w:rsidR="007D587C" w:rsidRPr="000F45B4" w:rsidRDefault="007D587C" w:rsidP="00445121">
      <w:pPr>
        <w:numPr>
          <w:ilvl w:val="0"/>
          <w:numId w:val="57"/>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az anyagi jellegű kompenzáción kívül azokra a szervezeti előnyökre, amelyeket a munkahely biztosít a dolgozónak – szemben más, az ágazatban tevékenykedő szervezettel.</w:t>
      </w:r>
    </w:p>
    <w:p w14:paraId="227D68CA"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85" w:name="_Toc118749532"/>
      <w:bookmarkStart w:id="286" w:name="_Toc145962993"/>
      <w:r w:rsidRPr="000F45B4">
        <w:rPr>
          <w:rFonts w:ascii="Times New Roman" w:hAnsi="Times New Roman" w:cs="Times New Roman"/>
        </w:rPr>
        <w:t>Célkitűzés-elmélet</w:t>
      </w:r>
      <w:bookmarkEnd w:id="285"/>
      <w:bookmarkEnd w:id="286"/>
    </w:p>
    <w:p w14:paraId="4029D95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célkitűzés-elmélet Edwin A. Locke</w:t>
      </w:r>
      <w:r w:rsidRPr="000F45B4">
        <w:rPr>
          <w:rFonts w:ascii="Times New Roman" w:eastAsia="Calibri" w:hAnsi="Times New Roman" w:cs="Times New Roman"/>
          <w:b/>
          <w:bCs/>
          <w:i/>
          <w:iCs/>
        </w:rPr>
        <w:t xml:space="preserve"> </w:t>
      </w:r>
      <w:r w:rsidRPr="000F45B4">
        <w:rPr>
          <w:rFonts w:ascii="Times New Roman" w:eastAsia="Calibri" w:hAnsi="Times New Roman" w:cs="Times New Roman"/>
        </w:rPr>
        <w:t>(1968) nevéhez fűződik, aki tanulmányában amellett érvelt, hogy célok kitűzésével növelni lehet a dolgozói motivációt és teljesítményt, ugyanis a célok elérésének vágya cselekvési vágyat indukál.</w:t>
      </w:r>
    </w:p>
    <w:p w14:paraId="20847F4E"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célok három motivációs mechanizmuson keresztül befolyásolják a teljesítményt: választás, erőfeszítés és kitartás. A konkrét cél megkönnyíti a választást azáltal, hogy ösztönzi a cél eléréséhez szükséges magatartást, és segíti felismerni azokat, amelyek nem relevánsak a cél szempontjából. A célok kitűzése tehát javítja az egyén összpontosítását a legfontosabb feladatokra és világosabbá teszi a feladatok rangsorolását (</w:t>
      </w:r>
      <w:proofErr w:type="spellStart"/>
      <w:r w:rsidRPr="000F45B4">
        <w:rPr>
          <w:rFonts w:ascii="Times New Roman" w:eastAsia="Calibri" w:hAnsi="Times New Roman" w:cs="Times New Roman"/>
        </w:rPr>
        <w:t>Seijts</w:t>
      </w:r>
      <w:proofErr w:type="spellEnd"/>
      <w:r w:rsidRPr="000F45B4">
        <w:rPr>
          <w:rFonts w:ascii="Times New Roman" w:eastAsia="Calibri" w:hAnsi="Times New Roman" w:cs="Times New Roman"/>
        </w:rPr>
        <w:t>, 2001).</w:t>
      </w:r>
    </w:p>
    <w:p w14:paraId="1614A7DC"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hatékony célkitűzések megfogalmazását segíti Max E. Douglas modellje, amely azt javasolja, hogy a célkitűzés az alábbi részeket tartalmazza (</w:t>
      </w:r>
      <w:proofErr w:type="spellStart"/>
      <w:r w:rsidRPr="000F45B4">
        <w:rPr>
          <w:rFonts w:ascii="Times New Roman" w:eastAsia="Calibri" w:hAnsi="Times New Roman" w:cs="Times New Roman"/>
        </w:rPr>
        <w:t>Lussier</w:t>
      </w:r>
      <w:proofErr w:type="spellEnd"/>
      <w:r w:rsidRPr="000F45B4">
        <w:rPr>
          <w:rFonts w:ascii="Times New Roman" w:eastAsia="Calibri" w:hAnsi="Times New Roman" w:cs="Times New Roman"/>
        </w:rPr>
        <w:t xml:space="preserve">, 2019): </w:t>
      </w:r>
    </w:p>
    <w:p w14:paraId="31785234" w14:textId="77777777" w:rsidR="007D587C" w:rsidRPr="000F45B4" w:rsidRDefault="007D587C" w:rsidP="00445121">
      <w:pPr>
        <w:numPr>
          <w:ilvl w:val="0"/>
          <w:numId w:val="58"/>
        </w:numPr>
        <w:spacing w:after="0" w:line="240" w:lineRule="auto"/>
        <w:contextualSpacing/>
        <w:rPr>
          <w:rFonts w:ascii="Times New Roman" w:eastAsia="Calibri" w:hAnsi="Times New Roman" w:cs="Times New Roman"/>
        </w:rPr>
      </w:pPr>
      <w:r w:rsidRPr="000F45B4">
        <w:rPr>
          <w:rFonts w:ascii="Times New Roman" w:eastAsia="Calibri" w:hAnsi="Times New Roman" w:cs="Times New Roman"/>
        </w:rPr>
        <w:t>Ige (magyarban: főnévi igenév)</w:t>
      </w:r>
    </w:p>
    <w:p w14:paraId="6FF65FF7" w14:textId="77777777" w:rsidR="007D587C" w:rsidRPr="000F45B4" w:rsidRDefault="007D587C" w:rsidP="00445121">
      <w:pPr>
        <w:numPr>
          <w:ilvl w:val="0"/>
          <w:numId w:val="58"/>
        </w:numPr>
        <w:spacing w:after="0" w:line="240" w:lineRule="auto"/>
        <w:contextualSpacing/>
        <w:rPr>
          <w:rFonts w:ascii="Times New Roman" w:eastAsia="Calibri" w:hAnsi="Times New Roman" w:cs="Times New Roman"/>
        </w:rPr>
      </w:pPr>
      <w:r w:rsidRPr="000F45B4">
        <w:rPr>
          <w:rFonts w:ascii="Times New Roman" w:eastAsia="Calibri" w:hAnsi="Times New Roman" w:cs="Times New Roman"/>
        </w:rPr>
        <w:t>Egyedi, speciális és mérhető eredmény</w:t>
      </w:r>
    </w:p>
    <w:p w14:paraId="59CC8715" w14:textId="77777777" w:rsidR="007D587C" w:rsidRPr="000F45B4" w:rsidRDefault="007D587C" w:rsidP="00445121">
      <w:pPr>
        <w:numPr>
          <w:ilvl w:val="0"/>
          <w:numId w:val="58"/>
        </w:numPr>
        <w:spacing w:after="0" w:line="240" w:lineRule="auto"/>
        <w:contextualSpacing/>
        <w:rPr>
          <w:rFonts w:ascii="Times New Roman" w:eastAsia="Calibri" w:hAnsi="Times New Roman" w:cs="Times New Roman"/>
        </w:rPr>
      </w:pPr>
      <w:r w:rsidRPr="000F45B4">
        <w:rPr>
          <w:rFonts w:ascii="Times New Roman" w:eastAsia="Calibri" w:hAnsi="Times New Roman" w:cs="Times New Roman"/>
        </w:rPr>
        <w:t>Céldátum</w:t>
      </w:r>
    </w:p>
    <w:p w14:paraId="16671051"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 xml:space="preserve">Azaz a célkitűzés egyetlen végeredményt, pontosan meghatározott, mérhető teljesítményszintet és konkrét céldátumot kell tartalmazzon. </w:t>
      </w:r>
    </w:p>
    <w:p w14:paraId="0AE9A52F" w14:textId="77777777" w:rsidR="007D587C" w:rsidRPr="000F45B4" w:rsidRDefault="007D587C" w:rsidP="007D587C">
      <w:pPr>
        <w:rPr>
          <w:rFonts w:ascii="Times New Roman" w:eastAsia="Calibri" w:hAnsi="Times New Roman" w:cs="Times New Roman"/>
          <w:color w:val="000000"/>
        </w:rPr>
      </w:pPr>
    </w:p>
    <w:p w14:paraId="4072A091"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 xml:space="preserve">A célok kitűzése tulajdonképpen nem jelent mást, mint teljesítmény- és/vagy magatartáselvárásokat megfogalmazni a dolgozókkal szemben és biztosítani a vezetői, illetve szervezeti feltételeket e célok eléréséhez. A célok kitűzése történhet a vezető részéről, de bevonhatja az érintett </w:t>
      </w:r>
      <w:proofErr w:type="spellStart"/>
      <w:r w:rsidRPr="000F45B4">
        <w:rPr>
          <w:rFonts w:ascii="Times New Roman" w:eastAsia="Calibri" w:hAnsi="Times New Roman" w:cs="Times New Roman"/>
          <w:color w:val="000000"/>
        </w:rPr>
        <w:t>alkalmazottait</w:t>
      </w:r>
      <w:proofErr w:type="spellEnd"/>
      <w:r w:rsidRPr="000F45B4">
        <w:rPr>
          <w:rFonts w:ascii="Times New Roman" w:eastAsia="Calibri" w:hAnsi="Times New Roman" w:cs="Times New Roman"/>
          <w:color w:val="000000"/>
        </w:rPr>
        <w:t xml:space="preserve"> is – mindkettőnek vannak előnyei és hátrányai is.</w:t>
      </w:r>
    </w:p>
    <w:p w14:paraId="08869FC3"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 xml:space="preserve">Amennyiben a vezető az alkalmazottal közösen tűz ki célokat, számolnia kell tehát azzal, hogy esetlegesen nem az előzetes elvárásainak megfelelően kerülnek rögzítésre a célok. Ennek ellenére a vonatkozó kutatási eredmények azt erősítik, hogy a vezetők vonják be az alkalmazottakat a célkitűzés folyamatába, ugyanis – még Locke is megjegyzi 1968-as publikációjában – csak akkor számolhatunk a célkitűzések motivációra és teljesítményre gyakorolt pozitív hatásaival, ha a dolgozó </w:t>
      </w:r>
      <w:proofErr w:type="spellStart"/>
      <w:r w:rsidRPr="000F45B4">
        <w:rPr>
          <w:rFonts w:ascii="Times New Roman" w:eastAsia="Calibri" w:hAnsi="Times New Roman" w:cs="Times New Roman"/>
          <w:color w:val="000000"/>
        </w:rPr>
        <w:t>résztvesz</w:t>
      </w:r>
      <w:proofErr w:type="spellEnd"/>
      <w:r w:rsidRPr="000F45B4">
        <w:rPr>
          <w:rFonts w:ascii="Times New Roman" w:eastAsia="Calibri" w:hAnsi="Times New Roman" w:cs="Times New Roman"/>
          <w:color w:val="000000"/>
        </w:rPr>
        <w:t xml:space="preserve"> a célkitűzési folyamatban és magáénak érzi a kitűzött célt, tud azonosulni vele.</w:t>
      </w:r>
    </w:p>
    <w:p w14:paraId="2FABC173"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 xml:space="preserve">Fontos kritérium még, hogy a céloknak kihívást jelentőnek, ugyanakkor elérhetőnek kell lenniük. Locke (1968) arra a következtetésre jutott, hogy minél nehezebb elérni a dolgozónak a célt, annál nagyobb lesz a teljesítménye, ugyanakkor a túlságosan nehezen elérhető célok alacsonyabb teljesítményt eredményeztek, mint a könnyen elérhetőek. </w:t>
      </w:r>
    </w:p>
    <w:p w14:paraId="250F1A04" w14:textId="77777777" w:rsidR="007D587C" w:rsidRPr="000F45B4" w:rsidRDefault="007D587C" w:rsidP="007D587C">
      <w:pPr>
        <w:jc w:val="center"/>
        <w:rPr>
          <w:rFonts w:ascii="Times New Roman" w:eastAsia="Calibri" w:hAnsi="Times New Roman" w:cs="Times New Roman"/>
          <w:b/>
          <w:bCs/>
          <w:color w:val="000000"/>
        </w:rPr>
      </w:pPr>
      <w:r w:rsidRPr="000F45B4">
        <w:rPr>
          <w:rFonts w:ascii="Times New Roman" w:eastAsia="Calibri" w:hAnsi="Times New Roman" w:cs="Times New Roman"/>
          <w:b/>
          <w:bCs/>
          <w:color w:val="000000"/>
        </w:rPr>
        <w:t>Menedzseri tanulság</w:t>
      </w:r>
    </w:p>
    <w:p w14:paraId="4F65C153"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 xml:space="preserve">A célkitűzés-elmélet szervezeti implementációja a Management </w:t>
      </w:r>
      <w:proofErr w:type="spellStart"/>
      <w:r w:rsidRPr="000F45B4">
        <w:rPr>
          <w:rFonts w:ascii="Times New Roman" w:eastAsia="Calibri" w:hAnsi="Times New Roman" w:cs="Times New Roman"/>
          <w:color w:val="000000"/>
        </w:rPr>
        <w:t>by</w:t>
      </w:r>
      <w:proofErr w:type="spellEnd"/>
      <w:r w:rsidRPr="000F45B4">
        <w:rPr>
          <w:rFonts w:ascii="Times New Roman" w:eastAsia="Calibri" w:hAnsi="Times New Roman" w:cs="Times New Roman"/>
          <w:color w:val="000000"/>
        </w:rPr>
        <w:t xml:space="preserve"> </w:t>
      </w:r>
      <w:proofErr w:type="spellStart"/>
      <w:r w:rsidRPr="000F45B4">
        <w:rPr>
          <w:rFonts w:ascii="Times New Roman" w:eastAsia="Calibri" w:hAnsi="Times New Roman" w:cs="Times New Roman"/>
          <w:color w:val="000000"/>
        </w:rPr>
        <w:t>Objectives</w:t>
      </w:r>
      <w:proofErr w:type="spellEnd"/>
      <w:r w:rsidRPr="000F45B4">
        <w:rPr>
          <w:rFonts w:ascii="Times New Roman" w:eastAsia="Calibri" w:hAnsi="Times New Roman" w:cs="Times New Roman"/>
          <w:color w:val="000000"/>
        </w:rPr>
        <w:t xml:space="preserve"> (</w:t>
      </w:r>
      <w:proofErr w:type="spellStart"/>
      <w:r w:rsidRPr="000F45B4">
        <w:rPr>
          <w:rFonts w:ascii="Times New Roman" w:eastAsia="Calibri" w:hAnsi="Times New Roman" w:cs="Times New Roman"/>
          <w:color w:val="000000"/>
        </w:rPr>
        <w:t>MbO</w:t>
      </w:r>
      <w:proofErr w:type="spellEnd"/>
      <w:r w:rsidRPr="000F45B4">
        <w:rPr>
          <w:rFonts w:ascii="Times New Roman" w:eastAsia="Calibri" w:hAnsi="Times New Roman" w:cs="Times New Roman"/>
          <w:color w:val="000000"/>
        </w:rPr>
        <w:t xml:space="preserve">), azaz a célközpontos vezetés módszerén keresztül ragadható meg. Az </w:t>
      </w:r>
      <w:proofErr w:type="spellStart"/>
      <w:r w:rsidRPr="000F45B4">
        <w:rPr>
          <w:rFonts w:ascii="Times New Roman" w:eastAsia="Calibri" w:hAnsi="Times New Roman" w:cs="Times New Roman"/>
          <w:color w:val="000000"/>
        </w:rPr>
        <w:t>MbO</w:t>
      </w:r>
      <w:proofErr w:type="spellEnd"/>
      <w:r w:rsidRPr="000F45B4">
        <w:rPr>
          <w:rFonts w:ascii="Times New Roman" w:eastAsia="Calibri" w:hAnsi="Times New Roman" w:cs="Times New Roman"/>
          <w:color w:val="000000"/>
        </w:rPr>
        <w:t xml:space="preserve"> módszer Peter </w:t>
      </w:r>
      <w:proofErr w:type="spellStart"/>
      <w:r w:rsidRPr="000F45B4">
        <w:rPr>
          <w:rFonts w:ascii="Times New Roman" w:eastAsia="Calibri" w:hAnsi="Times New Roman" w:cs="Times New Roman"/>
          <w:color w:val="000000"/>
        </w:rPr>
        <w:t>Drucker</w:t>
      </w:r>
      <w:proofErr w:type="spellEnd"/>
      <w:r w:rsidRPr="000F45B4">
        <w:rPr>
          <w:rFonts w:ascii="Times New Roman" w:eastAsia="Calibri" w:hAnsi="Times New Roman" w:cs="Times New Roman"/>
          <w:color w:val="000000"/>
        </w:rPr>
        <w:t xml:space="preserve"> (1954) </w:t>
      </w:r>
      <w:r w:rsidRPr="000F45B4">
        <w:rPr>
          <w:rFonts w:ascii="Times New Roman" w:eastAsia="Calibri" w:hAnsi="Times New Roman" w:cs="Times New Roman"/>
          <w:color w:val="000000"/>
        </w:rPr>
        <w:lastRenderedPageBreak/>
        <w:t xml:space="preserve">nevéhez fűződik, s számos vállalat, köztük a Xerox és a Hewlett-Packard is beépítette a menedzsmentjébe. </w:t>
      </w:r>
    </w:p>
    <w:p w14:paraId="0DB67DFF" w14:textId="77777777" w:rsidR="007D587C" w:rsidRPr="000F45B4" w:rsidRDefault="007D587C" w:rsidP="007D587C">
      <w:pPr>
        <w:jc w:val="both"/>
        <w:rPr>
          <w:rFonts w:ascii="Times New Roman" w:eastAsia="Calibri" w:hAnsi="Times New Roman" w:cs="Times New Roman"/>
          <w:color w:val="000000"/>
        </w:rPr>
      </w:pPr>
      <w:r w:rsidRPr="000F45B4">
        <w:rPr>
          <w:rFonts w:ascii="Times New Roman" w:eastAsia="Calibri" w:hAnsi="Times New Roman" w:cs="Times New Roman"/>
          <w:color w:val="000000"/>
        </w:rPr>
        <w:t>A módszer lényege, hogy szervezeti szintű célokat fogalmaznak meg, amelyeket lebontanak a különböző szervezeti egységek, majd az egyének szintjére (13. ábra).</w:t>
      </w:r>
    </w:p>
    <w:p w14:paraId="2D0C683E" w14:textId="77777777" w:rsidR="007D587C" w:rsidRPr="000F45B4" w:rsidRDefault="007D587C" w:rsidP="007D587C">
      <w:pPr>
        <w:jc w:val="both"/>
        <w:rPr>
          <w:rFonts w:ascii="Times New Roman" w:eastAsia="Calibri" w:hAnsi="Times New Roman" w:cs="Times New Roman"/>
          <w:color w:val="000000"/>
        </w:rPr>
      </w:pPr>
    </w:p>
    <w:p w14:paraId="5007ECBD" w14:textId="77777777" w:rsidR="007D587C" w:rsidRPr="000F45B4" w:rsidRDefault="007D587C" w:rsidP="007D587C">
      <w:pPr>
        <w:ind w:left="720"/>
        <w:contextualSpacing/>
        <w:jc w:val="center"/>
        <w:rPr>
          <w:rFonts w:ascii="Times New Roman" w:eastAsia="Calibri" w:hAnsi="Times New Roman" w:cs="Times New Roman"/>
          <w:b/>
          <w:bCs/>
        </w:rPr>
      </w:pPr>
      <w:r w:rsidRPr="000F45B4">
        <w:rPr>
          <w:rFonts w:ascii="Times New Roman" w:eastAsia="Calibri" w:hAnsi="Times New Roman" w:cs="Times New Roman"/>
          <w:b/>
          <w:bCs/>
          <w:noProof/>
        </w:rPr>
        <w:drawing>
          <wp:inline distT="0" distB="0" distL="0" distR="0" wp14:anchorId="277E2EDF" wp14:editId="2ED8EBF1">
            <wp:extent cx="4498427" cy="2018960"/>
            <wp:effectExtent l="0" t="0" r="0" b="635"/>
            <wp:docPr id="1810008270" name="Kép 1810008270" descr="A képen szöveg, képernyőkép, Betűtípus, s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08270" name="Kép 1810008270" descr="A képen szöveg, képernyőkép, Betűtípus, sor látható&#10;&#10;Automatikusan generált leírás"/>
                    <pic:cNvPicPr/>
                  </pic:nvPicPr>
                  <pic:blipFill>
                    <a:blip r:embed="rId55"/>
                    <a:stretch>
                      <a:fillRect/>
                    </a:stretch>
                  </pic:blipFill>
                  <pic:spPr>
                    <a:xfrm>
                      <a:off x="0" y="0"/>
                      <a:ext cx="4500034" cy="2019681"/>
                    </a:xfrm>
                    <a:prstGeom prst="rect">
                      <a:avLst/>
                    </a:prstGeom>
                  </pic:spPr>
                </pic:pic>
              </a:graphicData>
            </a:graphic>
          </wp:inline>
        </w:drawing>
      </w:r>
    </w:p>
    <w:p w14:paraId="5B11DCCF" w14:textId="77777777" w:rsidR="007D587C" w:rsidRPr="000F45B4" w:rsidRDefault="007D587C" w:rsidP="007D587C">
      <w:pPr>
        <w:ind w:left="720"/>
        <w:contextualSpacing/>
        <w:jc w:val="center"/>
        <w:rPr>
          <w:rFonts w:ascii="Times New Roman" w:eastAsia="Calibri" w:hAnsi="Times New Roman" w:cs="Times New Roman"/>
        </w:rPr>
      </w:pPr>
      <w:r w:rsidRPr="000F45B4">
        <w:rPr>
          <w:rFonts w:ascii="Times New Roman" w:eastAsia="Calibri" w:hAnsi="Times New Roman" w:cs="Times New Roman"/>
        </w:rPr>
        <w:t xml:space="preserve">13. ábra: Az </w:t>
      </w:r>
      <w:proofErr w:type="spellStart"/>
      <w:r w:rsidRPr="000F45B4">
        <w:rPr>
          <w:rFonts w:ascii="Times New Roman" w:eastAsia="Calibri" w:hAnsi="Times New Roman" w:cs="Times New Roman"/>
        </w:rPr>
        <w:t>MbO</w:t>
      </w:r>
      <w:proofErr w:type="spellEnd"/>
      <w:r w:rsidRPr="000F45B4">
        <w:rPr>
          <w:rFonts w:ascii="Times New Roman" w:eastAsia="Calibri" w:hAnsi="Times New Roman" w:cs="Times New Roman"/>
        </w:rPr>
        <w:t xml:space="preserve"> folyamata</w:t>
      </w:r>
    </w:p>
    <w:p w14:paraId="5750DC58" w14:textId="77777777" w:rsidR="007D587C" w:rsidRPr="000F45B4" w:rsidRDefault="007D587C" w:rsidP="007D587C">
      <w:pPr>
        <w:jc w:val="center"/>
        <w:rPr>
          <w:rFonts w:ascii="Times New Roman" w:eastAsia="Calibri" w:hAnsi="Times New Roman" w:cs="Times New Roman"/>
          <w:i/>
          <w:iCs/>
          <w:sz w:val="20"/>
          <w:szCs w:val="20"/>
        </w:rPr>
      </w:pPr>
      <w:r w:rsidRPr="000F45B4">
        <w:rPr>
          <w:rFonts w:ascii="Times New Roman" w:eastAsia="Calibri" w:hAnsi="Times New Roman" w:cs="Times New Roman"/>
          <w:i/>
          <w:iCs/>
          <w:sz w:val="20"/>
          <w:szCs w:val="20"/>
        </w:rPr>
        <w:t xml:space="preserve">Forrás: </w:t>
      </w:r>
      <w:proofErr w:type="spellStart"/>
      <w:r w:rsidRPr="000F45B4">
        <w:rPr>
          <w:rFonts w:ascii="Times New Roman" w:eastAsia="Calibri" w:hAnsi="Times New Roman" w:cs="Times New Roman"/>
          <w:i/>
          <w:iCs/>
          <w:sz w:val="20"/>
          <w:szCs w:val="20"/>
        </w:rPr>
        <w:t>Drucker</w:t>
      </w:r>
      <w:proofErr w:type="spellEnd"/>
      <w:r w:rsidRPr="000F45B4">
        <w:rPr>
          <w:rFonts w:ascii="Times New Roman" w:eastAsia="Calibri" w:hAnsi="Times New Roman" w:cs="Times New Roman"/>
          <w:i/>
          <w:iCs/>
          <w:sz w:val="20"/>
          <w:szCs w:val="20"/>
        </w:rPr>
        <w:t xml:space="preserve"> (1954) elmélete alapján saját szerkesztés</w:t>
      </w:r>
    </w:p>
    <w:p w14:paraId="5422126E" w14:textId="77777777" w:rsidR="007D587C" w:rsidRPr="000F45B4" w:rsidRDefault="007D587C" w:rsidP="007D587C">
      <w:pPr>
        <w:rPr>
          <w:rFonts w:ascii="Times New Roman" w:eastAsia="Calibri" w:hAnsi="Times New Roman" w:cs="Times New Roman"/>
        </w:rPr>
      </w:pPr>
    </w:p>
    <w:p w14:paraId="3A29E678"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célok kijelölése keretében a szervezet stratégiai célkitűzései alapján meghatározzák az adott szervezeti egység, illetve a munkavállalók által teljesítendő normákat. A szervezeti egységek célteljesítéseit az adott részleg összes munkavállalójával közösen, míg az egy-egy dolgozót érintő elvárásokat a vezetőnek a beosztottal egyetértésben célszerű kijelölnie. Az akciótervet a teljesítendő normákhoz kapcsolódóan készítik, amely részletesen meghatározza a célok elérésével összefüggő részfeladatokat és az azok végrehajtásához szükségesnek ítélt vezetői/szervezeti támogatást. Felülvizsgálatot általában félévvel a célok kijelölését követően – indokolt esetben ettől eltérő időpontban – a vezetőnek a beosztottakkal közösen célszerű tartani, amelynek keretében áttekintik az addigi teljesítések mértékét és ütemét, a vezetői/szervezeti támogatás megfelelőségét, illetve – amennyiben szükségesnek ítélik – korrigálják a kitűzött célokat, esetleg újabb célokat jelölnek ki. A teljesítményértékelés során megvitatásra kerülnek az egyéni teljesítések és a szervezeti egység éves teljesítménye, továbbá újabb célokat tűznek ki a következő évre vonatkozóan.</w:t>
      </w:r>
    </w:p>
    <w:p w14:paraId="747B61A2" w14:textId="77777777" w:rsidR="007D587C" w:rsidRPr="000F45B4" w:rsidRDefault="007D587C" w:rsidP="00445121">
      <w:pPr>
        <w:pStyle w:val="Cmsor2"/>
        <w:numPr>
          <w:ilvl w:val="1"/>
          <w:numId w:val="40"/>
        </w:numPr>
        <w:spacing w:before="240" w:after="120" w:line="240" w:lineRule="auto"/>
        <w:ind w:left="576"/>
        <w:jc w:val="both"/>
        <w:rPr>
          <w:rFonts w:ascii="Times New Roman" w:hAnsi="Times New Roman" w:cs="Times New Roman"/>
        </w:rPr>
      </w:pPr>
      <w:bookmarkStart w:id="287" w:name="_Toc118749533"/>
      <w:bookmarkStart w:id="288" w:name="_Toc145962994"/>
      <w:r w:rsidRPr="000F45B4">
        <w:rPr>
          <w:rFonts w:ascii="Times New Roman" w:hAnsi="Times New Roman" w:cs="Times New Roman"/>
        </w:rPr>
        <w:t>A motivációt a magatartás következményei felől megragadó elméletek</w:t>
      </w:r>
      <w:bookmarkEnd w:id="287"/>
      <w:bookmarkEnd w:id="288"/>
    </w:p>
    <w:p w14:paraId="3C5D6E1A"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motivált magatartás következménye két szempontból, a vezető reakciói és a magatartást tanúsító munkavállaló aspektusából ragadható meg. A vezető tekintetében leginkább az a kérdés, hogy elégedett-e a beosztott teljesítésével, magatartásával, szeretné-e megerősíteni azt, vagy úgy látja, hogy a dolgozó viselkedése módosításra/megszüntetésre szorul. A munkavállaló nézőpontjából pedig az az érdekes, hogy az adott magatartásban mennyire lelete örömét, ki tudott-e teljesedni benne.</w:t>
      </w:r>
    </w:p>
    <w:p w14:paraId="6755A4A6"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rPr>
      </w:pPr>
      <w:bookmarkStart w:id="289" w:name="_Toc145363826"/>
      <w:bookmarkStart w:id="290" w:name="_Toc145363898"/>
      <w:bookmarkStart w:id="291" w:name="_Toc145363954"/>
      <w:bookmarkStart w:id="292" w:name="_Toc145364494"/>
      <w:bookmarkStart w:id="293" w:name="_Toc118749534"/>
      <w:bookmarkStart w:id="294" w:name="_Toc145962995"/>
      <w:bookmarkEnd w:id="289"/>
      <w:bookmarkEnd w:id="290"/>
      <w:bookmarkEnd w:id="291"/>
      <w:bookmarkEnd w:id="292"/>
      <w:r w:rsidRPr="000F45B4">
        <w:rPr>
          <w:rFonts w:ascii="Times New Roman" w:hAnsi="Times New Roman" w:cs="Times New Roman"/>
        </w:rPr>
        <w:t>Megerősítéselmélet</w:t>
      </w:r>
      <w:bookmarkEnd w:id="293"/>
      <w:bookmarkEnd w:id="294"/>
    </w:p>
    <w:p w14:paraId="5B9A5FE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megerősítés elmélete B. F. </w:t>
      </w:r>
      <w:proofErr w:type="spellStart"/>
      <w:r w:rsidRPr="000F45B4">
        <w:rPr>
          <w:rFonts w:ascii="Times New Roman" w:eastAsia="Calibri" w:hAnsi="Times New Roman" w:cs="Times New Roman"/>
        </w:rPr>
        <w:t>Skinner</w:t>
      </w:r>
      <w:proofErr w:type="spellEnd"/>
      <w:r w:rsidRPr="000F45B4">
        <w:rPr>
          <w:rFonts w:ascii="Times New Roman" w:eastAsia="Calibri" w:hAnsi="Times New Roman" w:cs="Times New Roman"/>
        </w:rPr>
        <w:t xml:space="preserve"> (1938) nevéhez fűződik. Az elmélet szerint a vezetőknek nem kell megérteniük a beosztottak szükségleteit, sem azt, hogy a dolgozók hogyan választanak viselkedést a szükségletek kielégítése érdekében, csupán a magatartás és annak következményei közötti kapcsolatokkal kell foglalkozniuk. </w:t>
      </w:r>
    </w:p>
    <w:p w14:paraId="4C5DF47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lastRenderedPageBreak/>
        <w:t>A megerősítés elmélete abból indul ki, hogy a viselkedést tapasztalatokon keresztül tanuljuk meg, ezért a vezetőknek a viselkedés következményeire kell nagy hangsúlyt fektetniük. A viselkedés következményeinek, azaz a megerősítésnek 4 típusát különböztetjük meg:</w:t>
      </w:r>
    </w:p>
    <w:p w14:paraId="4B784103" w14:textId="77777777" w:rsidR="007D587C" w:rsidRPr="000F45B4" w:rsidRDefault="007D587C" w:rsidP="00445121">
      <w:pPr>
        <w:numPr>
          <w:ilvl w:val="0"/>
          <w:numId w:val="6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Pozitív megerősítés</w:t>
      </w:r>
      <w:r w:rsidRPr="000F45B4">
        <w:rPr>
          <w:rFonts w:ascii="Times New Roman" w:eastAsia="Calibri" w:hAnsi="Times New Roman" w:cs="Times New Roman"/>
        </w:rPr>
        <w:t xml:space="preserve">: a kívánatos viselkedés megerősítésére szolgál, a vezető elégedett a beosztott munkájával és annak fenntartására ösztönzi, pl. pontossága miatt szóban megdicséri vagy kiváló riportjai miatt magas bónuszban részesíti. </w:t>
      </w:r>
    </w:p>
    <w:p w14:paraId="5F62EA60" w14:textId="77777777" w:rsidR="007D587C" w:rsidRPr="000F45B4" w:rsidRDefault="007D587C" w:rsidP="00445121">
      <w:pPr>
        <w:numPr>
          <w:ilvl w:val="0"/>
          <w:numId w:val="6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Negatív megerősítés</w:t>
      </w:r>
      <w:r w:rsidRPr="000F45B4">
        <w:rPr>
          <w:rFonts w:ascii="Times New Roman" w:eastAsia="Calibri" w:hAnsi="Times New Roman" w:cs="Times New Roman"/>
        </w:rPr>
        <w:t>: ugyancsak a kívánatos viselkedés megerősítésére szolgál, munkavállaló szeretne elkerülni egy számára negatív következményt, ezért a kívánatos viselkedést tanúsítja, pl. pontosan érkezik a megbeszélésekre, hogy ne kapjon figyelmeztetést.</w:t>
      </w:r>
    </w:p>
    <w:p w14:paraId="70C6605B" w14:textId="77777777" w:rsidR="007D587C" w:rsidRPr="000F45B4" w:rsidRDefault="007D587C" w:rsidP="00445121">
      <w:pPr>
        <w:numPr>
          <w:ilvl w:val="0"/>
          <w:numId w:val="6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Büntetés</w:t>
      </w:r>
      <w:r w:rsidRPr="000F45B4">
        <w:rPr>
          <w:rFonts w:ascii="Times New Roman" w:eastAsia="Calibri" w:hAnsi="Times New Roman" w:cs="Times New Roman"/>
        </w:rPr>
        <w:t>: a nem kívánatos viselkedést nem kívánatos következmény követi annak érdekében, hogy megszüntesse a nem kívánatos viselkedést, pl. a beosztott elkésett egy fontos megbeszélésről, ezért a vezető írásbeli figyelmeztetésben részesítette vagy hanyag riportjai miatt nem kapott bónuszt.</w:t>
      </w:r>
    </w:p>
    <w:p w14:paraId="056B6A17" w14:textId="77777777" w:rsidR="007D587C" w:rsidRPr="000F45B4" w:rsidRDefault="007D587C" w:rsidP="00445121">
      <w:pPr>
        <w:numPr>
          <w:ilvl w:val="0"/>
          <w:numId w:val="61"/>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i/>
          <w:iCs/>
        </w:rPr>
        <w:t>Kioltás</w:t>
      </w:r>
      <w:r w:rsidRPr="000F45B4">
        <w:rPr>
          <w:rFonts w:ascii="Times New Roman" w:eastAsia="Calibri" w:hAnsi="Times New Roman" w:cs="Times New Roman"/>
        </w:rPr>
        <w:t>: a következmény elmaradásával elmarad a viselkedés, pl. a heti riportokat felváltják a havi riportok azáltal, hogy csak a havi riportokra reagált a vezetőség.</w:t>
      </w:r>
    </w:p>
    <w:p w14:paraId="04D19E8B" w14:textId="77777777" w:rsidR="007D587C" w:rsidRPr="000F45B4" w:rsidRDefault="007D587C" w:rsidP="007D587C">
      <w:pPr>
        <w:ind w:left="360"/>
        <w:jc w:val="both"/>
        <w:rPr>
          <w:rFonts w:ascii="Times New Roman" w:eastAsia="Calibri" w:hAnsi="Times New Roman" w:cs="Times New Roman"/>
        </w:rPr>
      </w:pPr>
    </w:p>
    <w:p w14:paraId="78BBF816" w14:textId="77777777" w:rsidR="007D587C" w:rsidRPr="000F45B4" w:rsidRDefault="007D587C" w:rsidP="007D587C">
      <w:pPr>
        <w:jc w:val="both"/>
        <w:rPr>
          <w:rFonts w:ascii="Times New Roman" w:eastAsia="Calibri" w:hAnsi="Times New Roman" w:cs="Times New Roman"/>
        </w:rPr>
      </w:pPr>
      <w:proofErr w:type="spellStart"/>
      <w:r w:rsidRPr="000F45B4">
        <w:rPr>
          <w:rFonts w:ascii="Times New Roman" w:eastAsia="Calibri" w:hAnsi="Times New Roman" w:cs="Times New Roman"/>
        </w:rPr>
        <w:t>Skinner</w:t>
      </w:r>
      <w:proofErr w:type="spellEnd"/>
      <w:r w:rsidRPr="000F45B4">
        <w:rPr>
          <w:rFonts w:ascii="Times New Roman" w:eastAsia="Calibri" w:hAnsi="Times New Roman" w:cs="Times New Roman"/>
        </w:rPr>
        <w:t xml:space="preserve"> későbbi </w:t>
      </w:r>
      <w:proofErr w:type="spellStart"/>
      <w:r w:rsidRPr="000F45B4">
        <w:rPr>
          <w:rFonts w:ascii="Times New Roman" w:eastAsia="Calibri" w:hAnsi="Times New Roman" w:cs="Times New Roman"/>
        </w:rPr>
        <w:t>Ferster-rel</w:t>
      </w:r>
      <w:proofErr w:type="spellEnd"/>
      <w:r w:rsidRPr="000F45B4">
        <w:rPr>
          <w:rFonts w:ascii="Times New Roman" w:eastAsia="Calibri" w:hAnsi="Times New Roman" w:cs="Times New Roman"/>
        </w:rPr>
        <w:t xml:space="preserve"> társszerzős művében (1957) amellett érvel, hogy „</w:t>
      </w:r>
      <w:proofErr w:type="spellStart"/>
      <w:r w:rsidRPr="000F45B4">
        <w:rPr>
          <w:rFonts w:ascii="Times New Roman" w:eastAsia="Calibri" w:hAnsi="Times New Roman" w:cs="Times New Roman"/>
        </w:rPr>
        <w:t>you</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get</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what</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you</w:t>
      </w:r>
      <w:proofErr w:type="spellEnd"/>
      <w:r w:rsidRPr="000F45B4">
        <w:rPr>
          <w:rFonts w:ascii="Times New Roman" w:eastAsia="Calibri" w:hAnsi="Times New Roman" w:cs="Times New Roman"/>
        </w:rPr>
        <w:t xml:space="preserve"> </w:t>
      </w:r>
      <w:proofErr w:type="spellStart"/>
      <w:r w:rsidRPr="000F45B4">
        <w:rPr>
          <w:rFonts w:ascii="Times New Roman" w:eastAsia="Calibri" w:hAnsi="Times New Roman" w:cs="Times New Roman"/>
        </w:rPr>
        <w:t>reinforce</w:t>
      </w:r>
      <w:proofErr w:type="spellEnd"/>
      <w:r w:rsidRPr="000F45B4">
        <w:rPr>
          <w:rFonts w:ascii="Times New Roman" w:eastAsia="Calibri" w:hAnsi="Times New Roman" w:cs="Times New Roman"/>
        </w:rPr>
        <w:t xml:space="preserve">” (azaz azt kapod, amit megerősítesz), s a megerősítésnek további 4 típusát különböztette meg: </w:t>
      </w:r>
    </w:p>
    <w:p w14:paraId="5E2949AB"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1. Rögzített intervallumú megerősítés: előre meghatározott időközönként történik a megerősítés, pl. minden héten fizetést adunk.</w:t>
      </w:r>
    </w:p>
    <w:p w14:paraId="70FC11B1"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2. Változó intervallumú megerősítés: a megerősítés változó hosszúságú időközönként történik, pl. minden meglepetésszerű vezetői ellenőrzéskor.</w:t>
      </w:r>
    </w:p>
    <w:p w14:paraId="113F94B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3. Fix arányú megerősítés: meghatározott számú teljesítéskor az időtől függetlenül, pl. minden 10. eladott mezőgazdasági gépjármű után jutalom fizetése.</w:t>
      </w:r>
    </w:p>
    <w:p w14:paraId="4F38C2B0"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4. Változó arányú megerősítés: jutalmazás változó számú munkáért, eredményért, pl. dicséret a kiváló munkáért. A szerzők szerint ez utóbbi ösztönzi az egyéneket leginkább a kívánatos cselekedet megismétlésére.</w:t>
      </w:r>
    </w:p>
    <w:p w14:paraId="4F91B919" w14:textId="77777777" w:rsidR="007D587C" w:rsidRPr="000F45B4" w:rsidRDefault="007D587C" w:rsidP="007D587C">
      <w:pPr>
        <w:jc w:val="both"/>
        <w:rPr>
          <w:rFonts w:ascii="Times New Roman" w:eastAsia="Calibri" w:hAnsi="Times New Roman" w:cs="Times New Roman"/>
        </w:rPr>
      </w:pPr>
    </w:p>
    <w:p w14:paraId="2476C1C9"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7AF4FD5B"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megerősítés elmélet menedzseri tanulsága az, hogy a vezető magatartása, reakciói nagymértékben befolyásolják a munkavállalói magatartást és teljesítményt. Vezetőként lényeges kialakítani egy saját gyakorlatot és ütemtervet a megerősítésre, valamint fontos, hogy a munkatársak pontosan ismerjék a velük szemben támasztott elvárásokat. Ugyancsak lényeges, hogy lehetőség szerint az egyéni igényekhez legyenek igazítva a jutalmak (ami az egyik ember számára jutalom, pl. alkotói szabadság, az a másik ember számára szinte büntetés). Azt is célszerű megfogadni, hogy a gyenge és közepes teljesítményt nem érdemes különösebben jutalmazni.</w:t>
      </w:r>
    </w:p>
    <w:p w14:paraId="23A874E3" w14:textId="77777777" w:rsidR="007D587C" w:rsidRPr="000F45B4" w:rsidRDefault="007D587C" w:rsidP="00445121">
      <w:pPr>
        <w:pStyle w:val="Cmsor3"/>
        <w:numPr>
          <w:ilvl w:val="2"/>
          <w:numId w:val="40"/>
        </w:numPr>
        <w:spacing w:before="120" w:after="120" w:line="240" w:lineRule="auto"/>
        <w:jc w:val="both"/>
        <w:rPr>
          <w:rFonts w:ascii="Times New Roman" w:hAnsi="Times New Roman" w:cs="Times New Roman"/>
          <w:color w:val="1F3763"/>
        </w:rPr>
      </w:pPr>
      <w:bookmarkStart w:id="295" w:name="_Toc118749535"/>
      <w:bookmarkStart w:id="296" w:name="_Toc145962996"/>
      <w:r w:rsidRPr="000F45B4">
        <w:rPr>
          <w:rFonts w:ascii="Times New Roman" w:hAnsi="Times New Roman" w:cs="Times New Roman"/>
        </w:rPr>
        <w:t>Önmegvalósítás</w:t>
      </w:r>
      <w:bookmarkEnd w:id="295"/>
      <w:bookmarkEnd w:id="296"/>
    </w:p>
    <w:p w14:paraId="1098E071"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egyéni önmegavalósítással kapcsolatos legfontosabb gondolkodók közé soroljuk </w:t>
      </w:r>
      <w:proofErr w:type="spellStart"/>
      <w:r w:rsidRPr="000F45B4">
        <w:rPr>
          <w:rFonts w:ascii="Times New Roman" w:eastAsia="Calibri" w:hAnsi="Times New Roman" w:cs="Times New Roman"/>
        </w:rPr>
        <w:t>Maslowt</w:t>
      </w:r>
      <w:proofErr w:type="spellEnd"/>
      <w:r w:rsidRPr="000F45B4">
        <w:rPr>
          <w:rFonts w:ascii="Times New Roman" w:eastAsia="Calibri" w:hAnsi="Times New Roman" w:cs="Times New Roman"/>
        </w:rPr>
        <w:t xml:space="preserve">, Rogerst, </w:t>
      </w:r>
      <w:proofErr w:type="spellStart"/>
      <w:r w:rsidRPr="000F45B4">
        <w:rPr>
          <w:rFonts w:ascii="Times New Roman" w:eastAsia="Calibri" w:hAnsi="Times New Roman" w:cs="Times New Roman"/>
        </w:rPr>
        <w:t>Frommot</w:t>
      </w:r>
      <w:proofErr w:type="spellEnd"/>
      <w:r w:rsidRPr="000F45B4">
        <w:rPr>
          <w:rFonts w:ascii="Times New Roman" w:eastAsia="Calibri" w:hAnsi="Times New Roman" w:cs="Times New Roman"/>
        </w:rPr>
        <w:t xml:space="preserve"> és Csíkszentmihályit.</w:t>
      </w:r>
    </w:p>
    <w:p w14:paraId="53E6F676"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flow elmélet Csikszentmihályi Mihály (1975) azon megfigyeléséből indult ki, hogy vannak olyan tevékenységek (pl. művészeti- vagy sporttevékenységek), amelyekben elmerülve, kizárólag magára az aktivitásra figyelve egy olyan állapotot élnek át az egyének, amelyet belső jutalomként élnek meg. A flow a motivációt maximálisra fokozó élmény, az egyén képes teljes figyelmével egyetlen dologra összpontosítani, s mindez őszinte örömmel és lelkesedéssel tölti el. Ennek az állapotnak az elréséhez a szerző az alábbi feltételek, kulcsösszetevők teljesülését határozta meg:</w:t>
      </w:r>
    </w:p>
    <w:p w14:paraId="5E89FB89"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lastRenderedPageBreak/>
        <w:t xml:space="preserve">az észlelt kihívások és képességek közötti egyensúly, </w:t>
      </w:r>
    </w:p>
    <w:p w14:paraId="6E839B78"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egyértelmű célok és visszajelzések, </w:t>
      </w:r>
    </w:p>
    <w:p w14:paraId="49F04F97"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a cselekvés és tudatosság összeolvadása, </w:t>
      </w:r>
    </w:p>
    <w:p w14:paraId="232A3D95"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magas szintű, koncentrált figyelem a feladatra, </w:t>
      </w:r>
    </w:p>
    <w:p w14:paraId="26893BEC"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kontrollérzet a feladat elvégzése közben, </w:t>
      </w:r>
    </w:p>
    <w:p w14:paraId="79CC8873"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feladat elvégzését jutalomként megélni,</w:t>
      </w:r>
    </w:p>
    <w:p w14:paraId="369B9B10"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az öntudat elvesztése,</w:t>
      </w:r>
    </w:p>
    <w:p w14:paraId="0A989540"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megváltozott időérzékelés (gyorsabban múlik az idő), </w:t>
      </w:r>
    </w:p>
    <w:p w14:paraId="1AA262F6"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proofErr w:type="spellStart"/>
      <w:r w:rsidRPr="000F45B4">
        <w:rPr>
          <w:rFonts w:ascii="Times New Roman" w:eastAsia="Calibri" w:hAnsi="Times New Roman" w:cs="Times New Roman"/>
        </w:rPr>
        <w:t>autotelikus</w:t>
      </w:r>
      <w:proofErr w:type="spellEnd"/>
      <w:r w:rsidRPr="000F45B4">
        <w:rPr>
          <w:rFonts w:ascii="Times New Roman" w:eastAsia="Calibri" w:hAnsi="Times New Roman" w:cs="Times New Roman"/>
        </w:rPr>
        <w:t xml:space="preserve"> személyiség (azaz olyan személyiségű egyén, aki képes örömöt lelni olyan feladatokban, amelyeket mások elviselhetetlennek tartanak). </w:t>
      </w:r>
    </w:p>
    <w:p w14:paraId="62BB3F5F"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flow-élménnyel kapcsolatos kutatási eredmények (Takács, 2021) tanulsága szerint a gyakran átélt flow-élmény magas teljesítménnyel párosul, s különösen igaz ez a magas teljesítményorientációjú és lelkiismeretes kollégák esetén.</w:t>
      </w:r>
    </w:p>
    <w:p w14:paraId="447B0EB5" w14:textId="77777777" w:rsidR="007D587C" w:rsidRPr="000F45B4" w:rsidRDefault="007D587C" w:rsidP="007D587C">
      <w:pPr>
        <w:jc w:val="both"/>
        <w:rPr>
          <w:rFonts w:ascii="Times New Roman" w:eastAsia="Calibri" w:hAnsi="Times New Roman" w:cs="Times New Roman"/>
        </w:rPr>
      </w:pPr>
    </w:p>
    <w:p w14:paraId="3FEFFE82"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 flow-élmény javítja a dolgozók életminőségét, a munkavégzés közben gyakran átélt flow élmény arra utal, hogy az egyén ki tud teljesedni a munkában, megtalálta önmagát. </w:t>
      </w:r>
    </w:p>
    <w:p w14:paraId="7503A960"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 xml:space="preserve">Az egyén önmegvalósításának munkahelyi gátló tényezőit </w:t>
      </w:r>
      <w:proofErr w:type="spellStart"/>
      <w:r w:rsidRPr="000F45B4">
        <w:rPr>
          <w:rFonts w:ascii="Times New Roman" w:eastAsia="Calibri" w:hAnsi="Times New Roman" w:cs="Times New Roman"/>
        </w:rPr>
        <w:t>Becz</w:t>
      </w:r>
      <w:proofErr w:type="spellEnd"/>
      <w:r w:rsidRPr="000F45B4">
        <w:rPr>
          <w:rFonts w:ascii="Times New Roman" w:eastAsia="Calibri" w:hAnsi="Times New Roman" w:cs="Times New Roman"/>
        </w:rPr>
        <w:t xml:space="preserve">-Bíró (2009) összegezte tanulmányában. A szerző megállapításai szerint az egyén önmegvalósítását maga az egyén (mint szervezeti tag), a munka (mint tevékenység) jellege és a szervezet további jellemzői tudják megakadályozni: </w:t>
      </w:r>
    </w:p>
    <w:p w14:paraId="2885B426"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önmaga: személyiség (nem törekszik az önmegvalósításra), nem reálisak a céljai, nincs jövőképe, passzívan áll hozzá a tanuláshoz, hiányzik belőle a kreatív feszültség, erős védekező mechanizmusok jellemzik;</w:t>
      </w:r>
    </w:p>
    <w:p w14:paraId="2C5CDB6A"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egyén és munka viszonya: képességek kihasználásának hiánya, a munka eredményét nem érzi magáénak, személyes felelősségvállalás hiánya, munka szeretetének hiánya, személyes elköteleződés hiánya a közös jövőkép irányába;</w:t>
      </w:r>
    </w:p>
    <w:p w14:paraId="015A4189"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a szervezet további jellemzői: </w:t>
      </w:r>
    </w:p>
    <w:p w14:paraId="7E90D7F1" w14:textId="77777777" w:rsidR="007D587C" w:rsidRPr="000F45B4" w:rsidRDefault="007D587C" w:rsidP="00445121">
      <w:pPr>
        <w:numPr>
          <w:ilvl w:val="0"/>
          <w:numId w:val="6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 xml:space="preserve">vezető: X típusú vezető (egy magatartást kontrolláló vezető, aki számára a szabályok betartása az elsődleges, mivel azok helyességében hisz </w:t>
      </w:r>
      <w:proofErr w:type="gramStart"/>
      <w:r w:rsidRPr="000F45B4">
        <w:rPr>
          <w:rFonts w:ascii="Times New Roman" w:eastAsia="Calibri" w:hAnsi="Times New Roman" w:cs="Times New Roman"/>
        </w:rPr>
        <w:t>mindenek előtt</w:t>
      </w:r>
      <w:proofErr w:type="gramEnd"/>
      <w:r w:rsidRPr="000F45B4">
        <w:rPr>
          <w:rFonts w:ascii="Times New Roman" w:eastAsia="Calibri" w:hAnsi="Times New Roman" w:cs="Times New Roman"/>
        </w:rPr>
        <w:t>; nem bízik a beosztott képességeiben, illetve azok fejleszthetőségében – kivéve, ha az a szabályok által kijelölt kereteken belül történik), a vezető csak kommunikációjában támogatja a belső elköteleződést, de a mindennapokban ez ellen tesz, azaz az elmondottakat nem támasztja alá tettekkel;</w:t>
      </w:r>
    </w:p>
    <w:p w14:paraId="15B93B14" w14:textId="77777777" w:rsidR="007D587C" w:rsidRPr="000F45B4" w:rsidRDefault="007D587C" w:rsidP="00445121">
      <w:pPr>
        <w:numPr>
          <w:ilvl w:val="0"/>
          <w:numId w:val="6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közös jövőkép hiánya: közös jövőképnek tartalmaznia kell a személyes irányítás során megfogalmazott egyéni jövőképet, másrészt azt kell sugároznia, hogy a szervezeti tagok közösen, és csak közösen kepések azt megvalósítani;</w:t>
      </w:r>
    </w:p>
    <w:p w14:paraId="7E1C3D50" w14:textId="77777777" w:rsidR="007D587C" w:rsidRPr="000F45B4" w:rsidRDefault="007D587C" w:rsidP="00445121">
      <w:pPr>
        <w:numPr>
          <w:ilvl w:val="0"/>
          <w:numId w:val="6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dialógus hiánya;</w:t>
      </w:r>
    </w:p>
    <w:p w14:paraId="1C69181B" w14:textId="77777777" w:rsidR="007D587C" w:rsidRPr="000F45B4" w:rsidRDefault="007D587C" w:rsidP="00445121">
      <w:pPr>
        <w:numPr>
          <w:ilvl w:val="0"/>
          <w:numId w:val="62"/>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nagyfokú, állandó bizonytalanság.</w:t>
      </w:r>
    </w:p>
    <w:p w14:paraId="06CE88D2" w14:textId="77777777" w:rsidR="007D587C" w:rsidRPr="000F45B4" w:rsidRDefault="007D587C" w:rsidP="007D587C">
      <w:pPr>
        <w:rPr>
          <w:rFonts w:ascii="Times New Roman" w:eastAsia="Calibri" w:hAnsi="Times New Roman" w:cs="Times New Roman"/>
        </w:rPr>
      </w:pPr>
    </w:p>
    <w:p w14:paraId="3C639EEE" w14:textId="77777777" w:rsidR="007D587C" w:rsidRPr="000F45B4" w:rsidRDefault="007D587C" w:rsidP="007D587C">
      <w:pPr>
        <w:jc w:val="center"/>
        <w:rPr>
          <w:rFonts w:ascii="Times New Roman" w:eastAsia="Calibri" w:hAnsi="Times New Roman" w:cs="Times New Roman"/>
          <w:b/>
          <w:bCs/>
        </w:rPr>
      </w:pPr>
      <w:r w:rsidRPr="000F45B4">
        <w:rPr>
          <w:rFonts w:ascii="Times New Roman" w:eastAsia="Calibri" w:hAnsi="Times New Roman" w:cs="Times New Roman"/>
          <w:b/>
          <w:bCs/>
        </w:rPr>
        <w:t>Menedzseri tanulság</w:t>
      </w:r>
    </w:p>
    <w:p w14:paraId="54D4E49B" w14:textId="77777777" w:rsidR="007D587C" w:rsidRPr="000F45B4" w:rsidRDefault="007D587C" w:rsidP="007D587C">
      <w:pPr>
        <w:jc w:val="both"/>
        <w:rPr>
          <w:rFonts w:ascii="Times New Roman" w:eastAsia="Calibri" w:hAnsi="Times New Roman" w:cs="Times New Roman"/>
        </w:rPr>
      </w:pPr>
      <w:r w:rsidRPr="000F45B4">
        <w:rPr>
          <w:rFonts w:ascii="Times New Roman" w:eastAsia="Calibri" w:hAnsi="Times New Roman" w:cs="Times New Roman"/>
        </w:rPr>
        <w:t>A szakirodalom foglalkozott azzal is, hogy a vezetők hogyan tudják segíteni a munkavállalókat az optimális munkaélmény kialakításában. A vonatkozó kutatási eredményeket egy hazai tanulmány (Takács, 2021) az alábbiak szerint foglalta össze:</w:t>
      </w:r>
    </w:p>
    <w:p w14:paraId="0652E77A"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támogató, bizalmi kapcsolatokat kialakító vezető,</w:t>
      </w:r>
    </w:p>
    <w:p w14:paraId="3586ECA4"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kihívást jelentő, de teljesíthető feladatok biztosítása,</w:t>
      </w:r>
    </w:p>
    <w:p w14:paraId="143127B2" w14:textId="77777777" w:rsidR="007D587C" w:rsidRPr="000F45B4" w:rsidRDefault="007D587C" w:rsidP="00445121">
      <w:pPr>
        <w:numPr>
          <w:ilvl w:val="0"/>
          <w:numId w:val="48"/>
        </w:numPr>
        <w:spacing w:after="0" w:line="240" w:lineRule="auto"/>
        <w:contextualSpacing/>
        <w:jc w:val="both"/>
        <w:rPr>
          <w:rFonts w:ascii="Times New Roman" w:eastAsia="Calibri" w:hAnsi="Times New Roman" w:cs="Times New Roman"/>
        </w:rPr>
      </w:pPr>
      <w:r w:rsidRPr="000F45B4">
        <w:rPr>
          <w:rFonts w:ascii="Times New Roman" w:eastAsia="Calibri" w:hAnsi="Times New Roman" w:cs="Times New Roman"/>
        </w:rPr>
        <w:t>a munkafeladatokat elosztásánál a munkatársak kompetenciái mellett célszerű figyelembe venni az érdeklődési területeiket is (utóbbiak között olyanok is lehetnek, hogy hatással lenni mások életére vagy segíteni a fejlődésüket).</w:t>
      </w:r>
    </w:p>
    <w:p w14:paraId="1DEAB742" w14:textId="77777777" w:rsidR="00F32CB8" w:rsidRPr="007D587C" w:rsidRDefault="00F32CB8" w:rsidP="00EC10C5">
      <w:pPr>
        <w:rPr>
          <w:rFonts w:ascii="Times New Roman" w:hAnsi="Times New Roman" w:cs="Times New Roman"/>
          <w:sz w:val="24"/>
          <w:szCs w:val="24"/>
        </w:rPr>
      </w:pPr>
      <w:r w:rsidRPr="007D587C">
        <w:rPr>
          <w:rFonts w:ascii="Times New Roman" w:hAnsi="Times New Roman" w:cs="Times New Roman"/>
          <w:sz w:val="24"/>
          <w:szCs w:val="24"/>
        </w:rPr>
        <w:br w:type="page"/>
      </w:r>
    </w:p>
    <w:p w14:paraId="50852782" w14:textId="77777777" w:rsidR="00F32CB8" w:rsidRDefault="00F32CB8" w:rsidP="00EC10C5">
      <w:pPr>
        <w:pStyle w:val="Cmsor1"/>
        <w:jc w:val="center"/>
        <w:rPr>
          <w:rFonts w:ascii="Times New Roman" w:hAnsi="Times New Roman" w:cs="Times New Roman"/>
          <w:b/>
          <w:sz w:val="24"/>
          <w:szCs w:val="24"/>
        </w:rPr>
      </w:pPr>
      <w:r w:rsidRPr="00F32CB8">
        <w:rPr>
          <w:rFonts w:ascii="Times New Roman" w:hAnsi="Times New Roman" w:cs="Times New Roman"/>
          <w:b/>
          <w:sz w:val="24"/>
          <w:szCs w:val="24"/>
        </w:rPr>
        <w:lastRenderedPageBreak/>
        <w:t>III. Üzleti jog tárgy témakörei</w:t>
      </w:r>
    </w:p>
    <w:p w14:paraId="1F497979" w14:textId="77777777" w:rsidR="00C022AA" w:rsidRPr="00055041" w:rsidRDefault="00C022AA" w:rsidP="00EC10C5">
      <w:pPr>
        <w:spacing w:after="200" w:line="276" w:lineRule="auto"/>
        <w:jc w:val="both"/>
        <w:rPr>
          <w:rFonts w:ascii="Times New Roman" w:hAnsi="Times New Roman" w:cs="Times New Roman"/>
          <w:sz w:val="24"/>
          <w:szCs w:val="24"/>
        </w:rPr>
      </w:pPr>
    </w:p>
    <w:p w14:paraId="60C5E93A" w14:textId="77777777" w:rsidR="00C022AA" w:rsidRPr="00C022AA" w:rsidRDefault="00C022AA" w:rsidP="00445121">
      <w:pPr>
        <w:pStyle w:val="Cmsor1"/>
        <w:numPr>
          <w:ilvl w:val="0"/>
          <w:numId w:val="38"/>
        </w:numPr>
        <w:ind w:left="0" w:firstLine="709"/>
        <w:rPr>
          <w:rFonts w:ascii="Times New Roman" w:hAnsi="Times New Roman" w:cs="Times New Roman"/>
          <w:b/>
          <w:sz w:val="24"/>
          <w:szCs w:val="24"/>
        </w:rPr>
      </w:pPr>
      <w:r w:rsidRPr="00C022AA">
        <w:rPr>
          <w:rFonts w:ascii="Times New Roman" w:hAnsi="Times New Roman" w:cs="Times New Roman"/>
          <w:b/>
          <w:sz w:val="24"/>
          <w:szCs w:val="24"/>
        </w:rPr>
        <w:t>Szervezeti jogalanyiság, jogi személyek szabályozásának általános kérdései</w:t>
      </w:r>
    </w:p>
    <w:p w14:paraId="239140D8"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b/>
          <w:sz w:val="24"/>
          <w:szCs w:val="24"/>
        </w:rPr>
        <w:t>1.1. Szervezeti jogalanyiság lényege, természetes személy, jogi személy (azonosságok, különbségek)</w:t>
      </w:r>
    </w:p>
    <w:p w14:paraId="16717217" w14:textId="77777777" w:rsidR="00C022AA" w:rsidRPr="00C022AA" w:rsidRDefault="00C022AA" w:rsidP="00EC10C5">
      <w:pPr>
        <w:spacing w:after="60" w:line="240" w:lineRule="auto"/>
        <w:ind w:left="707" w:firstLine="709"/>
        <w:rPr>
          <w:rFonts w:ascii="Times New Roman" w:hAnsi="Times New Roman" w:cs="Times New Roman"/>
          <w:i/>
          <w:sz w:val="24"/>
          <w:szCs w:val="24"/>
        </w:rPr>
      </w:pPr>
      <w:r w:rsidRPr="00C022AA">
        <w:rPr>
          <w:rFonts w:ascii="Times New Roman" w:hAnsi="Times New Roman" w:cs="Times New Roman"/>
          <w:i/>
          <w:sz w:val="24"/>
          <w:szCs w:val="24"/>
        </w:rPr>
        <w:t xml:space="preserve">kapcsolódó kivonatos jegyzetrészek: A.1., A.2., A.3. </w:t>
      </w:r>
    </w:p>
    <w:p w14:paraId="1932AB1C"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b/>
          <w:sz w:val="24"/>
          <w:szCs w:val="24"/>
        </w:rPr>
        <w:t>1.2. Jogi személyek jellemzői, szabályozásuk rendszere, főbb vonásai</w:t>
      </w:r>
    </w:p>
    <w:p w14:paraId="47DB00FA" w14:textId="77777777" w:rsidR="00C022AA" w:rsidRPr="00C022AA" w:rsidRDefault="00C022AA" w:rsidP="00EC10C5">
      <w:pPr>
        <w:spacing w:after="60" w:line="240" w:lineRule="auto"/>
        <w:ind w:left="707" w:firstLine="709"/>
        <w:rPr>
          <w:rFonts w:ascii="Times New Roman" w:hAnsi="Times New Roman" w:cs="Times New Roman"/>
          <w:i/>
          <w:sz w:val="24"/>
          <w:szCs w:val="24"/>
        </w:rPr>
      </w:pPr>
      <w:r w:rsidRPr="00C022AA">
        <w:rPr>
          <w:rFonts w:ascii="Times New Roman" w:hAnsi="Times New Roman" w:cs="Times New Roman"/>
          <w:i/>
          <w:sz w:val="24"/>
          <w:szCs w:val="24"/>
        </w:rPr>
        <w:t>kapcsolódó kivonatos jegyzetrészek: A.7., A.8., B.3., B.4.</w:t>
      </w:r>
    </w:p>
    <w:p w14:paraId="37C14C50"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sz w:val="24"/>
          <w:szCs w:val="24"/>
        </w:rPr>
        <w:t>1</w:t>
      </w:r>
      <w:r w:rsidRPr="00C022AA">
        <w:rPr>
          <w:rFonts w:ascii="Times New Roman" w:hAnsi="Times New Roman" w:cs="Times New Roman"/>
          <w:b/>
          <w:sz w:val="24"/>
          <w:szCs w:val="24"/>
        </w:rPr>
        <w:t xml:space="preserve">.3. Típuskényszer, diszpozitivitás a Polgári Törvénykönyv „jogi </w:t>
      </w:r>
      <w:proofErr w:type="gramStart"/>
      <w:r w:rsidRPr="00C022AA">
        <w:rPr>
          <w:rFonts w:ascii="Times New Roman" w:hAnsi="Times New Roman" w:cs="Times New Roman"/>
          <w:b/>
          <w:sz w:val="24"/>
          <w:szCs w:val="24"/>
        </w:rPr>
        <w:t>személyek”-</w:t>
      </w:r>
      <w:proofErr w:type="spellStart"/>
      <w:proofErr w:type="gramEnd"/>
      <w:r w:rsidRPr="00C022AA">
        <w:rPr>
          <w:rFonts w:ascii="Times New Roman" w:hAnsi="Times New Roman" w:cs="Times New Roman"/>
          <w:b/>
          <w:sz w:val="24"/>
          <w:szCs w:val="24"/>
        </w:rPr>
        <w:t>ről</w:t>
      </w:r>
      <w:proofErr w:type="spellEnd"/>
      <w:r w:rsidRPr="00C022AA">
        <w:rPr>
          <w:rFonts w:ascii="Times New Roman" w:hAnsi="Times New Roman" w:cs="Times New Roman"/>
          <w:b/>
          <w:sz w:val="24"/>
          <w:szCs w:val="24"/>
        </w:rPr>
        <w:t xml:space="preserve"> szóló III. Könyvében</w:t>
      </w:r>
    </w:p>
    <w:p w14:paraId="0D997C92" w14:textId="77777777" w:rsidR="00C022AA" w:rsidRPr="00C022AA" w:rsidRDefault="00C022AA" w:rsidP="00EC10C5">
      <w:pPr>
        <w:spacing w:after="60" w:line="240" w:lineRule="auto"/>
        <w:ind w:left="707" w:firstLine="709"/>
        <w:rPr>
          <w:rFonts w:ascii="Times New Roman" w:hAnsi="Times New Roman" w:cs="Times New Roman"/>
          <w:i/>
          <w:sz w:val="24"/>
          <w:szCs w:val="24"/>
        </w:rPr>
      </w:pPr>
      <w:r w:rsidRPr="00C022AA">
        <w:rPr>
          <w:rFonts w:ascii="Times New Roman" w:hAnsi="Times New Roman" w:cs="Times New Roman"/>
          <w:i/>
          <w:sz w:val="24"/>
          <w:szCs w:val="24"/>
        </w:rPr>
        <w:t>kapcsolódó kivonatos jegyzetrészek: B.1., B.2.</w:t>
      </w:r>
    </w:p>
    <w:p w14:paraId="544CA8E8" w14:textId="77777777" w:rsidR="00C022AA" w:rsidRPr="00055041" w:rsidRDefault="00C022AA" w:rsidP="00EC10C5">
      <w:pPr>
        <w:spacing w:after="60" w:line="240" w:lineRule="auto"/>
        <w:ind w:firstLine="709"/>
        <w:rPr>
          <w:rFonts w:ascii="Times New Roman" w:hAnsi="Times New Roman" w:cs="Times New Roman"/>
          <w:b/>
          <w:sz w:val="24"/>
          <w:szCs w:val="24"/>
        </w:rPr>
      </w:pPr>
    </w:p>
    <w:p w14:paraId="1BF8AB25"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b/>
          <w:sz w:val="24"/>
          <w:szCs w:val="24"/>
        </w:rPr>
        <w:t>A.1. Jogképesség – jogalanyiság – személy(</w:t>
      </w:r>
      <w:proofErr w:type="spellStart"/>
      <w:r w:rsidRPr="00C022AA">
        <w:rPr>
          <w:rFonts w:ascii="Times New Roman" w:hAnsi="Times New Roman" w:cs="Times New Roman"/>
          <w:b/>
          <w:sz w:val="24"/>
          <w:szCs w:val="24"/>
        </w:rPr>
        <w:t>ség</w:t>
      </w:r>
      <w:proofErr w:type="spellEnd"/>
      <w:r w:rsidRPr="00C022AA">
        <w:rPr>
          <w:rFonts w:ascii="Times New Roman" w:hAnsi="Times New Roman" w:cs="Times New Roman"/>
          <w:b/>
          <w:sz w:val="24"/>
          <w:szCs w:val="24"/>
        </w:rPr>
        <w:t>)</w:t>
      </w:r>
    </w:p>
    <w:p w14:paraId="2DCA5C45"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 jog emberi magatartásokra modellezett. Olyan társadalmi „játékszabályokat” állapít meg, olyan általános magatartásszabályokat, amelyek betartását a társadalmi együttélés rendje érdekében (és ebben különbözik a jog más társadalmi értékelő rendszerektől) végső soron az egyetlen legitimált közhatalom, az állam közhatalmi kényszerítő eszközökkel is garantálja.</w:t>
      </w:r>
    </w:p>
    <w:p w14:paraId="474294E3"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w:t>
      </w:r>
      <w:r w:rsidRPr="00055041">
        <w:rPr>
          <w:rFonts w:ascii="Times New Roman" w:eastAsia="Times New Roman" w:hAnsi="Times New Roman" w:cs="Times New Roman"/>
          <w:i/>
          <w:sz w:val="24"/>
          <w:szCs w:val="24"/>
          <w:lang w:eastAsia="hu-HU"/>
        </w:rPr>
        <w:t>jog természetes alanya ezért az ember</w:t>
      </w:r>
      <w:r w:rsidRPr="00055041">
        <w:rPr>
          <w:rFonts w:ascii="Times New Roman" w:eastAsia="Times New Roman" w:hAnsi="Times New Roman" w:cs="Times New Roman"/>
          <w:sz w:val="24"/>
          <w:szCs w:val="24"/>
          <w:lang w:eastAsia="hu-HU"/>
        </w:rPr>
        <w:t xml:space="preserve"> – innen ered a törvényi elnevezés: az </w:t>
      </w:r>
      <w:r w:rsidRPr="00055041">
        <w:rPr>
          <w:rFonts w:ascii="Times New Roman" w:eastAsia="Times New Roman" w:hAnsi="Times New Roman" w:cs="Times New Roman"/>
          <w:i/>
          <w:sz w:val="24"/>
          <w:szCs w:val="24"/>
          <w:lang w:eastAsia="hu-HU"/>
        </w:rPr>
        <w:t>ember természetes személy</w:t>
      </w:r>
      <w:r w:rsidRPr="00055041">
        <w:rPr>
          <w:rFonts w:ascii="Times New Roman" w:eastAsia="Times New Roman" w:hAnsi="Times New Roman" w:cs="Times New Roman"/>
          <w:sz w:val="24"/>
          <w:szCs w:val="24"/>
          <w:lang w:eastAsia="hu-HU"/>
        </w:rPr>
        <w:t>. Mintegy a természetjogból kifolyóan az ember automatikusan jogalany, a jog emberi magatartásokat kíván szabályozni.</w:t>
      </w:r>
    </w:p>
    <w:p w14:paraId="6056AFCA"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rabszolgatartó, illetve feudális államok megszűnése után a francia </w:t>
      </w:r>
      <w:proofErr w:type="spellStart"/>
      <w:r w:rsidRPr="00055041">
        <w:rPr>
          <w:rFonts w:ascii="Times New Roman" w:eastAsia="Times New Roman" w:hAnsi="Times New Roman" w:cs="Times New Roman"/>
          <w:sz w:val="24"/>
          <w:szCs w:val="24"/>
          <w:lang w:eastAsia="hu-HU"/>
        </w:rPr>
        <w:t>Code</w:t>
      </w:r>
      <w:proofErr w:type="spellEnd"/>
      <w:r w:rsidRPr="00055041">
        <w:rPr>
          <w:rFonts w:ascii="Times New Roman" w:eastAsia="Times New Roman" w:hAnsi="Times New Roman" w:cs="Times New Roman"/>
          <w:sz w:val="24"/>
          <w:szCs w:val="24"/>
          <w:lang w:eastAsia="hu-HU"/>
        </w:rPr>
        <w:t xml:space="preserve"> Civil mondta ki először az 1800-as évek elején a polgári társadalom létrejöttekor, hogy minden ember születésétől haláláig jogképes (sőt a jog ezt a jogképességet a méhmagzatnak is „megelőlegezi”). A </w:t>
      </w:r>
      <w:r w:rsidRPr="00055041">
        <w:rPr>
          <w:rFonts w:ascii="Times New Roman" w:eastAsia="Times New Roman" w:hAnsi="Times New Roman" w:cs="Times New Roman"/>
          <w:i/>
          <w:sz w:val="24"/>
          <w:szCs w:val="24"/>
          <w:lang w:eastAsia="hu-HU"/>
        </w:rPr>
        <w:t>jogképesség</w:t>
      </w:r>
      <w:r w:rsidRPr="00055041">
        <w:rPr>
          <w:rFonts w:ascii="Times New Roman" w:eastAsia="Times New Roman" w:hAnsi="Times New Roman" w:cs="Times New Roman"/>
          <w:sz w:val="24"/>
          <w:szCs w:val="24"/>
          <w:lang w:eastAsia="hu-HU"/>
        </w:rPr>
        <w:t xml:space="preserve"> elvileg minden jogra és kötelezettségre kiterjedő absztrakt képesség – ettől függetlenül persze külön törvények bevezethetnek </w:t>
      </w:r>
      <w:r w:rsidRPr="00055041">
        <w:rPr>
          <w:rFonts w:ascii="Times New Roman" w:eastAsia="Times New Roman" w:hAnsi="Times New Roman" w:cs="Times New Roman"/>
          <w:i/>
          <w:sz w:val="24"/>
          <w:szCs w:val="24"/>
          <w:lang w:eastAsia="hu-HU"/>
        </w:rPr>
        <w:t>szerzőképességi</w:t>
      </w:r>
      <w:r w:rsidRPr="00055041">
        <w:rPr>
          <w:rFonts w:ascii="Times New Roman" w:eastAsia="Times New Roman" w:hAnsi="Times New Roman" w:cs="Times New Roman"/>
          <w:sz w:val="24"/>
          <w:szCs w:val="24"/>
          <w:lang w:eastAsia="hu-HU"/>
        </w:rPr>
        <w:t xml:space="preserve"> korlátozásokat, de ezek mindig konkrét és </w:t>
      </w:r>
      <w:proofErr w:type="gramStart"/>
      <w:r w:rsidRPr="00055041">
        <w:rPr>
          <w:rFonts w:ascii="Times New Roman" w:eastAsia="Times New Roman" w:hAnsi="Times New Roman" w:cs="Times New Roman"/>
          <w:sz w:val="24"/>
          <w:szCs w:val="24"/>
          <w:lang w:eastAsia="hu-HU"/>
        </w:rPr>
        <w:t>kivételes esetek</w:t>
      </w:r>
      <w:proofErr w:type="gramEnd"/>
      <w:r w:rsidRPr="00055041">
        <w:rPr>
          <w:rFonts w:ascii="Times New Roman" w:eastAsia="Times New Roman" w:hAnsi="Times New Roman" w:cs="Times New Roman"/>
          <w:sz w:val="24"/>
          <w:szCs w:val="24"/>
          <w:lang w:eastAsia="hu-HU"/>
        </w:rPr>
        <w:t>. A jogképesség nemcsak a jogokra, hanem a kötelezettségekre is vonatkozik, de mivel e jogi fogalom az emberi autonómiát hangsúlyozó civiljogban alakult ki, az egyszavas jogképesség fogalmában a kötelezettségvállalási képesség elbújik ugyan, de azért benne van.</w:t>
      </w:r>
    </w:p>
    <w:p w14:paraId="78A2C4BA"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polgári társadalomban – és ezt törvényi szinten ugyancsak a </w:t>
      </w:r>
      <w:proofErr w:type="spellStart"/>
      <w:r w:rsidRPr="00055041">
        <w:rPr>
          <w:rFonts w:ascii="Times New Roman" w:eastAsia="Times New Roman" w:hAnsi="Times New Roman" w:cs="Times New Roman"/>
          <w:sz w:val="24"/>
          <w:szCs w:val="24"/>
          <w:lang w:eastAsia="hu-HU"/>
        </w:rPr>
        <w:t>Code</w:t>
      </w:r>
      <w:proofErr w:type="spellEnd"/>
      <w:r w:rsidRPr="00055041">
        <w:rPr>
          <w:rFonts w:ascii="Times New Roman" w:eastAsia="Times New Roman" w:hAnsi="Times New Roman" w:cs="Times New Roman"/>
          <w:sz w:val="24"/>
          <w:szCs w:val="24"/>
          <w:lang w:eastAsia="hu-HU"/>
        </w:rPr>
        <w:t xml:space="preserve"> Civil mondta ki először – az emberi jogképesség </w:t>
      </w:r>
      <w:r w:rsidRPr="00055041">
        <w:rPr>
          <w:rFonts w:ascii="Times New Roman" w:eastAsia="Times New Roman" w:hAnsi="Times New Roman" w:cs="Times New Roman"/>
          <w:i/>
          <w:sz w:val="24"/>
          <w:szCs w:val="24"/>
          <w:lang w:eastAsia="hu-HU"/>
        </w:rPr>
        <w:t>egyenlő,</w:t>
      </w:r>
      <w:r w:rsidRPr="00055041">
        <w:rPr>
          <w:rFonts w:ascii="Times New Roman" w:eastAsia="Times New Roman" w:hAnsi="Times New Roman" w:cs="Times New Roman"/>
          <w:sz w:val="24"/>
          <w:szCs w:val="24"/>
          <w:lang w:eastAsia="hu-HU"/>
        </w:rPr>
        <w:t xml:space="preserve"> nemre, fajra, felekezetre, nemzetiségre tekintet nélkül. Természetesen ez a jogképességi egyenlőség törvény előtti egyenlőséget jelent és semmiképp társadalmi–gazdasági egyenlőséget. (Az szociális esélyegyenlőségre törekvés már a 20. század második felének gondolata.)</w:t>
      </w:r>
    </w:p>
    <w:p w14:paraId="17620670" w14:textId="77777777" w:rsidR="00C022AA"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polgári jogban tehát a </w:t>
      </w:r>
      <w:r w:rsidRPr="00055041">
        <w:rPr>
          <w:rFonts w:ascii="Times New Roman" w:eastAsia="Times New Roman" w:hAnsi="Times New Roman" w:cs="Times New Roman"/>
          <w:i/>
          <w:sz w:val="24"/>
          <w:szCs w:val="24"/>
          <w:lang w:eastAsia="hu-HU"/>
        </w:rPr>
        <w:t>személy jogalany</w:t>
      </w:r>
      <w:r w:rsidRPr="00055041">
        <w:rPr>
          <w:rFonts w:ascii="Times New Roman" w:eastAsia="Times New Roman" w:hAnsi="Times New Roman" w:cs="Times New Roman"/>
          <w:sz w:val="24"/>
          <w:szCs w:val="24"/>
          <w:lang w:eastAsia="hu-HU"/>
        </w:rPr>
        <w:t xml:space="preserve">, akinek absztrakt </w:t>
      </w:r>
      <w:r w:rsidRPr="00055041">
        <w:rPr>
          <w:rFonts w:ascii="Times New Roman" w:eastAsia="Times New Roman" w:hAnsi="Times New Roman" w:cs="Times New Roman"/>
          <w:i/>
          <w:sz w:val="24"/>
          <w:szCs w:val="24"/>
          <w:lang w:eastAsia="hu-HU"/>
        </w:rPr>
        <w:t>jogképessége</w:t>
      </w:r>
      <w:r w:rsidRPr="00055041">
        <w:rPr>
          <w:rFonts w:ascii="Times New Roman" w:eastAsia="Times New Roman" w:hAnsi="Times New Roman" w:cs="Times New Roman"/>
          <w:sz w:val="24"/>
          <w:szCs w:val="24"/>
          <w:lang w:eastAsia="hu-HU"/>
        </w:rPr>
        <w:t xml:space="preserve"> van. A természetes személy (az ember) emellett – bizonyos </w:t>
      </w:r>
      <w:r w:rsidRPr="00055041">
        <w:rPr>
          <w:rFonts w:ascii="Times New Roman" w:eastAsia="Times New Roman" w:hAnsi="Times New Roman" w:cs="Times New Roman"/>
          <w:i/>
          <w:sz w:val="24"/>
          <w:szCs w:val="24"/>
          <w:lang w:eastAsia="hu-HU"/>
        </w:rPr>
        <w:t>korhatár</w:t>
      </w:r>
      <w:r w:rsidRPr="00055041">
        <w:rPr>
          <w:rFonts w:ascii="Times New Roman" w:eastAsia="Times New Roman" w:hAnsi="Times New Roman" w:cs="Times New Roman"/>
          <w:sz w:val="24"/>
          <w:szCs w:val="24"/>
          <w:lang w:eastAsia="hu-HU"/>
        </w:rPr>
        <w:t xml:space="preserve"> felett (kiskorúság) és akkor, ha van </w:t>
      </w:r>
      <w:r w:rsidRPr="00055041">
        <w:rPr>
          <w:rFonts w:ascii="Times New Roman" w:eastAsia="Times New Roman" w:hAnsi="Times New Roman" w:cs="Times New Roman"/>
          <w:i/>
          <w:sz w:val="24"/>
          <w:szCs w:val="24"/>
          <w:lang w:eastAsia="hu-HU"/>
        </w:rPr>
        <w:t>beszámítási képessége</w:t>
      </w:r>
      <w:r w:rsidRPr="00055041">
        <w:rPr>
          <w:rFonts w:ascii="Times New Roman" w:eastAsia="Times New Roman" w:hAnsi="Times New Roman" w:cs="Times New Roman"/>
          <w:sz w:val="24"/>
          <w:szCs w:val="24"/>
          <w:lang w:eastAsia="hu-HU"/>
        </w:rPr>
        <w:t xml:space="preserve"> – </w:t>
      </w:r>
      <w:r w:rsidRPr="00055041">
        <w:rPr>
          <w:rFonts w:ascii="Times New Roman" w:eastAsia="Times New Roman" w:hAnsi="Times New Roman" w:cs="Times New Roman"/>
          <w:i/>
          <w:sz w:val="24"/>
          <w:szCs w:val="24"/>
          <w:lang w:eastAsia="hu-HU"/>
        </w:rPr>
        <w:t>cselekvőképes</w:t>
      </w:r>
      <w:r w:rsidRPr="00055041">
        <w:rPr>
          <w:rFonts w:ascii="Times New Roman" w:eastAsia="Times New Roman" w:hAnsi="Times New Roman" w:cs="Times New Roman"/>
          <w:sz w:val="24"/>
          <w:szCs w:val="24"/>
          <w:lang w:eastAsia="hu-HU"/>
        </w:rPr>
        <w:t xml:space="preserve"> és </w:t>
      </w:r>
      <w:r w:rsidRPr="00055041">
        <w:rPr>
          <w:rFonts w:ascii="Times New Roman" w:eastAsia="Times New Roman" w:hAnsi="Times New Roman" w:cs="Times New Roman"/>
          <w:i/>
          <w:sz w:val="24"/>
          <w:szCs w:val="24"/>
          <w:lang w:eastAsia="hu-HU"/>
        </w:rPr>
        <w:t>vétőképes</w:t>
      </w:r>
      <w:r w:rsidRPr="00055041">
        <w:rPr>
          <w:rFonts w:ascii="Times New Roman" w:eastAsia="Times New Roman" w:hAnsi="Times New Roman" w:cs="Times New Roman"/>
          <w:sz w:val="24"/>
          <w:szCs w:val="24"/>
          <w:lang w:eastAsia="hu-HU"/>
        </w:rPr>
        <w:t xml:space="preserve"> is. A cselekvőképesség azt jelenti, hogy az ember – bár általában jogosult képviselő, azaz helyette cselekvő igénybevételére – </w:t>
      </w:r>
      <w:r w:rsidRPr="00055041">
        <w:rPr>
          <w:rFonts w:ascii="Times New Roman" w:eastAsia="Times New Roman" w:hAnsi="Times New Roman" w:cs="Times New Roman"/>
          <w:i/>
          <w:sz w:val="24"/>
          <w:szCs w:val="24"/>
          <w:lang w:eastAsia="hu-HU"/>
        </w:rPr>
        <w:t>saját cselekményével</w:t>
      </w:r>
      <w:r w:rsidRPr="00055041">
        <w:rPr>
          <w:rFonts w:ascii="Times New Roman" w:eastAsia="Times New Roman" w:hAnsi="Times New Roman" w:cs="Times New Roman"/>
          <w:sz w:val="24"/>
          <w:szCs w:val="24"/>
          <w:lang w:eastAsia="hu-HU"/>
        </w:rPr>
        <w:t xml:space="preserve"> szerezhet jogokat és vállalhat kötelezettségeket. A vétőképesség pedig azt jelenti, hogy cselekményeiért – pl. a károkozásért – saját maga köteles helytállni.</w:t>
      </w:r>
    </w:p>
    <w:p w14:paraId="269DBBB3"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p>
    <w:p w14:paraId="0C3680AC"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b/>
          <w:sz w:val="24"/>
          <w:szCs w:val="24"/>
        </w:rPr>
        <w:t>A.2. Szervezeti jogalanyiság – a jogi személy</w:t>
      </w:r>
    </w:p>
    <w:p w14:paraId="21F2F445"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Az ember ugyan individuális lény, de a társadalmi-gazdasági életben nem elszigetelten létezik. Az emberek egymással együttműködnek, versenyeznek, csoportokat képeznek, egymással közösségeket, intézményeket hoznak létre. A polgári társadalomban – természetesen </w:t>
      </w:r>
      <w:r w:rsidRPr="00055041">
        <w:rPr>
          <w:rFonts w:ascii="Times New Roman" w:eastAsia="Times New Roman" w:hAnsi="Times New Roman" w:cs="Times New Roman"/>
          <w:sz w:val="24"/>
          <w:szCs w:val="24"/>
          <w:lang w:eastAsia="hu-HU"/>
        </w:rPr>
        <w:lastRenderedPageBreak/>
        <w:t xml:space="preserve">előzmények Rómában és a középkorban is voltak – szükségképp megjelentek a különböző </w:t>
      </w:r>
      <w:r w:rsidRPr="00055041">
        <w:rPr>
          <w:rFonts w:ascii="Times New Roman" w:eastAsia="Times New Roman" w:hAnsi="Times New Roman" w:cs="Times New Roman"/>
          <w:i/>
          <w:sz w:val="24"/>
          <w:szCs w:val="24"/>
          <w:lang w:eastAsia="hu-HU"/>
        </w:rPr>
        <w:t>szervezetek,</w:t>
      </w:r>
      <w:r w:rsidRPr="00055041">
        <w:rPr>
          <w:rFonts w:ascii="Times New Roman" w:eastAsia="Times New Roman" w:hAnsi="Times New Roman" w:cs="Times New Roman"/>
          <w:sz w:val="24"/>
          <w:szCs w:val="24"/>
          <w:lang w:eastAsia="hu-HU"/>
        </w:rPr>
        <w:t xml:space="preserve"> így a kereskedelmi társaságok, egyesületek stb.</w:t>
      </w:r>
    </w:p>
    <w:p w14:paraId="0091ADDF"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Az emberre összpontosító jog nagyon nehezen fogadta el jogalanyként a szervezeteket, vagy ahogy ezt a jogdogmatika nevezi, a </w:t>
      </w:r>
      <w:r w:rsidRPr="00055041">
        <w:rPr>
          <w:rFonts w:ascii="Times New Roman" w:eastAsia="Times New Roman" w:hAnsi="Times New Roman" w:cs="Times New Roman"/>
          <w:i/>
          <w:sz w:val="24"/>
          <w:szCs w:val="24"/>
          <w:lang w:eastAsia="hu-HU"/>
        </w:rPr>
        <w:t>jogi személyeket</w:t>
      </w:r>
      <w:r w:rsidRPr="00055041">
        <w:rPr>
          <w:rFonts w:ascii="Times New Roman" w:eastAsia="Times New Roman" w:hAnsi="Times New Roman" w:cs="Times New Roman"/>
          <w:sz w:val="24"/>
          <w:szCs w:val="24"/>
          <w:lang w:eastAsia="hu-HU"/>
        </w:rPr>
        <w:t xml:space="preserve">. Az elnevezés önmagában jelzi, hogy míg az ember természetes személy, addig a szervezeti jogalanyiság az állam által. a jog által teremtett </w:t>
      </w:r>
      <w:proofErr w:type="spellStart"/>
      <w:r w:rsidRPr="00055041">
        <w:rPr>
          <w:rFonts w:ascii="Times New Roman" w:eastAsia="Times New Roman" w:hAnsi="Times New Roman" w:cs="Times New Roman"/>
          <w:sz w:val="24"/>
          <w:szCs w:val="24"/>
          <w:lang w:eastAsia="hu-HU"/>
        </w:rPr>
        <w:t>személység</w:t>
      </w:r>
      <w:proofErr w:type="spellEnd"/>
      <w:r w:rsidRPr="00055041">
        <w:rPr>
          <w:rFonts w:ascii="Times New Roman" w:eastAsia="Times New Roman" w:hAnsi="Times New Roman" w:cs="Times New Roman"/>
          <w:sz w:val="24"/>
          <w:szCs w:val="24"/>
          <w:lang w:eastAsia="hu-HU"/>
        </w:rPr>
        <w:t xml:space="preserve">. Az első </w:t>
      </w:r>
      <w:r w:rsidRPr="00055041">
        <w:rPr>
          <w:rFonts w:ascii="Times New Roman" w:eastAsia="Times New Roman" w:hAnsi="Times New Roman" w:cs="Times New Roman"/>
          <w:i/>
          <w:sz w:val="24"/>
          <w:szCs w:val="24"/>
          <w:lang w:eastAsia="hu-HU"/>
        </w:rPr>
        <w:t>jogi személy elméletek</w:t>
      </w:r>
      <w:r w:rsidRPr="00055041">
        <w:rPr>
          <w:rFonts w:ascii="Times New Roman" w:eastAsia="Times New Roman" w:hAnsi="Times New Roman" w:cs="Times New Roman"/>
          <w:sz w:val="24"/>
          <w:szCs w:val="24"/>
          <w:lang w:eastAsia="hu-HU"/>
        </w:rPr>
        <w:t xml:space="preserve"> még a </w:t>
      </w:r>
      <w:r w:rsidRPr="00055041">
        <w:rPr>
          <w:rFonts w:ascii="Times New Roman" w:eastAsia="Times New Roman" w:hAnsi="Times New Roman" w:cs="Times New Roman"/>
          <w:i/>
          <w:sz w:val="24"/>
          <w:szCs w:val="24"/>
          <w:lang w:eastAsia="hu-HU"/>
        </w:rPr>
        <w:t>fikciós</w:t>
      </w:r>
      <w:r w:rsidRPr="00055041">
        <w:rPr>
          <w:rFonts w:ascii="Times New Roman" w:eastAsia="Times New Roman" w:hAnsi="Times New Roman" w:cs="Times New Roman"/>
          <w:sz w:val="24"/>
          <w:szCs w:val="24"/>
          <w:lang w:eastAsia="hu-HU"/>
        </w:rPr>
        <w:t xml:space="preserve"> irányzaton alapultak: a szervezeti jogalanyiság voltaképp fikció. Később a </w:t>
      </w:r>
      <w:r w:rsidRPr="00055041">
        <w:rPr>
          <w:rFonts w:ascii="Times New Roman" w:eastAsia="Times New Roman" w:hAnsi="Times New Roman" w:cs="Times New Roman"/>
          <w:i/>
          <w:sz w:val="24"/>
          <w:szCs w:val="24"/>
          <w:lang w:eastAsia="hu-HU"/>
        </w:rPr>
        <w:t>realitáselméletek</w:t>
      </w:r>
      <w:r w:rsidRPr="00055041">
        <w:rPr>
          <w:rFonts w:ascii="Times New Roman" w:eastAsia="Times New Roman" w:hAnsi="Times New Roman" w:cs="Times New Roman"/>
          <w:sz w:val="24"/>
          <w:szCs w:val="24"/>
          <w:lang w:eastAsia="hu-HU"/>
        </w:rPr>
        <w:t xml:space="preserve"> az ember hasonmásaként fogják fel a jogi személy szervezeteket, mások jogszabályok beszámítási pontjaként. A szervezetszociológia fejlődése nyomán került elfogadásra a 20. század közepétől, hogy a szervezet önálló, embertől eltérő alakzat, amelyet a jog jogképességgel ruházhat fel.</w:t>
      </w:r>
    </w:p>
    <w:p w14:paraId="6FC7FD54" w14:textId="77777777" w:rsidR="00C022AA"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w:t>
      </w:r>
      <w:r w:rsidRPr="00055041">
        <w:rPr>
          <w:rFonts w:ascii="Times New Roman" w:eastAsia="Times New Roman" w:hAnsi="Times New Roman" w:cs="Times New Roman"/>
          <w:i/>
          <w:sz w:val="24"/>
          <w:szCs w:val="24"/>
          <w:lang w:eastAsia="hu-HU"/>
        </w:rPr>
        <w:t>jogi személy elmélet</w:t>
      </w:r>
      <w:r w:rsidRPr="00055041">
        <w:rPr>
          <w:rFonts w:ascii="Times New Roman" w:eastAsia="Times New Roman" w:hAnsi="Times New Roman" w:cs="Times New Roman"/>
          <w:sz w:val="24"/>
          <w:szCs w:val="24"/>
          <w:lang w:eastAsia="hu-HU"/>
        </w:rPr>
        <w:t xml:space="preserve"> kifinomított kialakítása a német jogtudományhoz fűződik 1850–1930 között. (A francia jog jóval pragmatikusabb volt, az angol–amerikai jogban pedig a jogi személy elmélet egyáltalán nem kapott szerepet.) </w:t>
      </w:r>
    </w:p>
    <w:p w14:paraId="664E7DFE"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 tehát bizonyos mértékben a </w:t>
      </w:r>
      <w:r w:rsidRPr="00055041">
        <w:rPr>
          <w:rFonts w:ascii="Times New Roman" w:eastAsia="Times New Roman" w:hAnsi="Times New Roman" w:cs="Times New Roman"/>
          <w:i/>
          <w:sz w:val="24"/>
          <w:szCs w:val="24"/>
          <w:lang w:eastAsia="hu-HU"/>
        </w:rPr>
        <w:t>jog alkotása</w:t>
      </w:r>
      <w:r w:rsidRPr="00055041">
        <w:rPr>
          <w:rFonts w:ascii="Times New Roman" w:eastAsia="Times New Roman" w:hAnsi="Times New Roman" w:cs="Times New Roman"/>
          <w:sz w:val="24"/>
          <w:szCs w:val="24"/>
          <w:lang w:eastAsia="hu-HU"/>
        </w:rPr>
        <w:t xml:space="preserve">: a törvényalkotó dönti el, hogy egy adott szervezetnek ad-e jogi </w:t>
      </w:r>
      <w:proofErr w:type="spellStart"/>
      <w:r w:rsidRPr="00055041">
        <w:rPr>
          <w:rFonts w:ascii="Times New Roman" w:eastAsia="Times New Roman" w:hAnsi="Times New Roman" w:cs="Times New Roman"/>
          <w:sz w:val="24"/>
          <w:szCs w:val="24"/>
          <w:lang w:eastAsia="hu-HU"/>
        </w:rPr>
        <w:t>személységet</w:t>
      </w:r>
      <w:proofErr w:type="spellEnd"/>
      <w:r w:rsidRPr="00055041">
        <w:rPr>
          <w:rFonts w:ascii="Times New Roman" w:eastAsia="Times New Roman" w:hAnsi="Times New Roman" w:cs="Times New Roman"/>
          <w:sz w:val="24"/>
          <w:szCs w:val="24"/>
          <w:lang w:eastAsia="hu-HU"/>
        </w:rPr>
        <w:t xml:space="preserve"> vagy sem. Ezért részben történetileg, részben az országok között számottevő különbségek vannak abban, hogy a jog milyen szervezeteket és hogyan nyilvánít jogi személynek. Mint ahogy a szervezetszociológia is különbséget tesz szervezetet nem képező ún. „kiscsoport” és a minőségileg magasabb rendű intézményesült emberközösség, azaz a szervezet között, </w:t>
      </w:r>
      <w:r w:rsidRPr="00055041">
        <w:rPr>
          <w:rFonts w:ascii="Times New Roman" w:eastAsia="Times New Roman" w:hAnsi="Times New Roman" w:cs="Times New Roman"/>
          <w:i/>
          <w:sz w:val="24"/>
          <w:szCs w:val="24"/>
          <w:lang w:eastAsia="hu-HU"/>
        </w:rPr>
        <w:t>a tételesjog dönt</w:t>
      </w:r>
      <w:r w:rsidRPr="00055041">
        <w:rPr>
          <w:rFonts w:ascii="Times New Roman" w:eastAsia="Times New Roman" w:hAnsi="Times New Roman" w:cs="Times New Roman"/>
          <w:sz w:val="24"/>
          <w:szCs w:val="24"/>
          <w:lang w:eastAsia="hu-HU"/>
        </w:rPr>
        <w:t xml:space="preserve"> abban, hogy egy </w:t>
      </w:r>
      <w:r w:rsidRPr="00055041">
        <w:rPr>
          <w:rFonts w:ascii="Times New Roman" w:eastAsia="Times New Roman" w:hAnsi="Times New Roman" w:cs="Times New Roman"/>
          <w:i/>
          <w:sz w:val="24"/>
          <w:szCs w:val="24"/>
          <w:lang w:eastAsia="hu-HU"/>
        </w:rPr>
        <w:t>adott szervezeti képződményt jogi személynek nyilvánít-e vagy sem</w:t>
      </w:r>
      <w:r w:rsidRPr="00055041">
        <w:rPr>
          <w:rFonts w:ascii="Times New Roman" w:eastAsia="Times New Roman" w:hAnsi="Times New Roman" w:cs="Times New Roman"/>
          <w:sz w:val="24"/>
          <w:szCs w:val="24"/>
          <w:lang w:eastAsia="hu-HU"/>
        </w:rPr>
        <w:t>.</w:t>
      </w:r>
      <w:r w:rsidRPr="00055041">
        <w:rPr>
          <w:rFonts w:ascii="Times New Roman" w:eastAsia="Times New Roman" w:hAnsi="Times New Roman" w:cs="Times New Roman"/>
          <w:i/>
          <w:sz w:val="24"/>
          <w:szCs w:val="24"/>
          <w:vertAlign w:val="superscript"/>
          <w:lang w:eastAsia="hu-HU"/>
        </w:rPr>
        <w:t xml:space="preserve"> </w:t>
      </w:r>
      <w:r w:rsidRPr="00055041">
        <w:rPr>
          <w:rFonts w:ascii="Times New Roman" w:eastAsia="Times New Roman" w:hAnsi="Times New Roman" w:cs="Times New Roman"/>
          <w:i/>
          <w:sz w:val="24"/>
          <w:szCs w:val="24"/>
          <w:vertAlign w:val="superscript"/>
          <w:lang w:eastAsia="hu-HU"/>
        </w:rPr>
        <w:footnoteReference w:id="2"/>
      </w:r>
      <w:r w:rsidRPr="00055041">
        <w:rPr>
          <w:rFonts w:ascii="Times New Roman" w:eastAsia="Times New Roman" w:hAnsi="Times New Roman" w:cs="Times New Roman"/>
          <w:sz w:val="24"/>
          <w:szCs w:val="24"/>
          <w:lang w:eastAsia="hu-HU"/>
        </w:rPr>
        <w:t xml:space="preserve"> </w:t>
      </w:r>
    </w:p>
    <w:p w14:paraId="1970D4F2"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w:t>
      </w:r>
      <w:r w:rsidRPr="00055041">
        <w:rPr>
          <w:rFonts w:ascii="Times New Roman" w:eastAsia="Times New Roman" w:hAnsi="Times New Roman" w:cs="Times New Roman"/>
          <w:i/>
          <w:sz w:val="24"/>
          <w:szCs w:val="24"/>
          <w:lang w:eastAsia="hu-HU"/>
        </w:rPr>
        <w:t>különböző országok</w:t>
      </w:r>
      <w:r w:rsidRPr="00055041">
        <w:rPr>
          <w:rFonts w:ascii="Times New Roman" w:eastAsia="Times New Roman" w:hAnsi="Times New Roman" w:cs="Times New Roman"/>
          <w:sz w:val="24"/>
          <w:szCs w:val="24"/>
          <w:lang w:eastAsia="hu-HU"/>
        </w:rPr>
        <w:t xml:space="preserve"> abban is </w:t>
      </w:r>
      <w:r w:rsidRPr="00055041">
        <w:rPr>
          <w:rFonts w:ascii="Times New Roman" w:eastAsia="Times New Roman" w:hAnsi="Times New Roman" w:cs="Times New Roman"/>
          <w:i/>
          <w:sz w:val="24"/>
          <w:szCs w:val="24"/>
          <w:lang w:eastAsia="hu-HU"/>
        </w:rPr>
        <w:t>eltérnek</w:t>
      </w:r>
      <w:r w:rsidRPr="00055041">
        <w:rPr>
          <w:rFonts w:ascii="Times New Roman" w:eastAsia="Times New Roman" w:hAnsi="Times New Roman" w:cs="Times New Roman"/>
          <w:sz w:val="24"/>
          <w:szCs w:val="24"/>
          <w:lang w:eastAsia="hu-HU"/>
        </w:rPr>
        <w:t xml:space="preserve"> egymástól, hogy</w:t>
      </w:r>
    </w:p>
    <w:p w14:paraId="18A5F8B2" w14:textId="77777777" w:rsidR="00C022AA" w:rsidRPr="00055041" w:rsidRDefault="00C022AA" w:rsidP="00EC10C5">
      <w:pPr>
        <w:pStyle w:val="Stlus2"/>
        <w:rPr>
          <w:rFonts w:eastAsia="Times New Roman"/>
          <w:lang w:eastAsia="hu-HU"/>
        </w:rPr>
      </w:pPr>
      <w:r w:rsidRPr="00055041">
        <w:rPr>
          <w:rFonts w:eastAsia="Times New Roman"/>
          <w:i/>
          <w:lang w:eastAsia="hu-HU"/>
        </w:rPr>
        <w:t>alkalmaznak-e típuskényszert</w:t>
      </w:r>
      <w:r w:rsidRPr="00055041">
        <w:rPr>
          <w:rFonts w:eastAsia="Times New Roman"/>
          <w:lang w:eastAsia="hu-HU"/>
        </w:rPr>
        <w:t xml:space="preserve"> a jogi személyek körében vagy sem (tehát, hogy csak meghatározott típusban – egyesület, alapítvány, rt. stb. – jöhetnek-e létre jogi személyek, vagy formátlanul),</w:t>
      </w:r>
    </w:p>
    <w:p w14:paraId="324281A8" w14:textId="77777777" w:rsidR="00C022AA" w:rsidRPr="00055041" w:rsidRDefault="00C022AA" w:rsidP="00EC10C5">
      <w:pPr>
        <w:pStyle w:val="Stlus2"/>
        <w:rPr>
          <w:rFonts w:eastAsia="Times New Roman"/>
          <w:lang w:eastAsia="hu-HU"/>
        </w:rPr>
      </w:pPr>
      <w:r w:rsidRPr="00055041">
        <w:rPr>
          <w:rFonts w:eastAsia="Times New Roman"/>
          <w:lang w:eastAsia="hu-HU"/>
        </w:rPr>
        <w:t xml:space="preserve">a konkrét jogi személy </w:t>
      </w:r>
      <w:r w:rsidRPr="00055041">
        <w:rPr>
          <w:rFonts w:eastAsia="Times New Roman"/>
          <w:i/>
          <w:lang w:eastAsia="hu-HU"/>
        </w:rPr>
        <w:t>létrejöttéhez kell-e egyedi állami regisztráció</w:t>
      </w:r>
      <w:r w:rsidRPr="00055041">
        <w:rPr>
          <w:rFonts w:eastAsia="Times New Roman"/>
          <w:lang w:eastAsia="hu-HU"/>
        </w:rPr>
        <w:t xml:space="preserve"> (pl. bírósági nyilvántartásba vétel) vagy sem, és ha igen, a nyilvántartásba vétel </w:t>
      </w:r>
      <w:r w:rsidRPr="00055041">
        <w:rPr>
          <w:rFonts w:eastAsia="Times New Roman"/>
          <w:i/>
          <w:lang w:eastAsia="hu-HU"/>
        </w:rPr>
        <w:t>konstitutív</w:t>
      </w:r>
      <w:r w:rsidRPr="00055041">
        <w:rPr>
          <w:rFonts w:eastAsia="Times New Roman"/>
          <w:lang w:eastAsia="hu-HU"/>
        </w:rPr>
        <w:t xml:space="preserve"> (jogkeletkeztető jellegű, azaz a nyilvántartásba vétellel jön létre a jogi személy) vagy </w:t>
      </w:r>
      <w:r w:rsidRPr="00055041">
        <w:rPr>
          <w:rFonts w:eastAsia="Times New Roman"/>
          <w:i/>
          <w:lang w:eastAsia="hu-HU"/>
        </w:rPr>
        <w:t>csak deklaratív</w:t>
      </w:r>
      <w:r w:rsidRPr="00055041">
        <w:rPr>
          <w:rFonts w:eastAsia="Times New Roman"/>
          <w:lang w:eastAsia="hu-HU"/>
        </w:rPr>
        <w:t xml:space="preserve">, </w:t>
      </w:r>
      <w:proofErr w:type="gramStart"/>
      <w:r w:rsidRPr="00055041">
        <w:rPr>
          <w:rFonts w:eastAsia="Times New Roman"/>
          <w:lang w:eastAsia="hu-HU"/>
        </w:rPr>
        <w:t>illetve</w:t>
      </w:r>
      <w:proofErr w:type="gramEnd"/>
      <w:r w:rsidRPr="00055041">
        <w:rPr>
          <w:rFonts w:eastAsia="Times New Roman"/>
          <w:lang w:eastAsia="hu-HU"/>
        </w:rPr>
        <w:t xml:space="preserve"> ha konstitutív, ez a </w:t>
      </w:r>
      <w:r w:rsidRPr="00055041">
        <w:rPr>
          <w:rFonts w:eastAsia="Times New Roman"/>
          <w:i/>
          <w:lang w:eastAsia="hu-HU"/>
        </w:rPr>
        <w:t>jövőre szól</w:t>
      </w:r>
      <w:r w:rsidRPr="00055041">
        <w:rPr>
          <w:rFonts w:eastAsia="Times New Roman"/>
          <w:lang w:eastAsia="hu-HU"/>
        </w:rPr>
        <w:t xml:space="preserve"> (ex </w:t>
      </w:r>
      <w:proofErr w:type="spellStart"/>
      <w:r w:rsidRPr="00055041">
        <w:rPr>
          <w:rFonts w:eastAsia="Times New Roman"/>
          <w:lang w:eastAsia="hu-HU"/>
        </w:rPr>
        <w:t>nunc</w:t>
      </w:r>
      <w:proofErr w:type="spellEnd"/>
      <w:r w:rsidRPr="00055041">
        <w:rPr>
          <w:rFonts w:eastAsia="Times New Roman"/>
          <w:lang w:eastAsia="hu-HU"/>
        </w:rPr>
        <w:t xml:space="preserve"> hatály) vagy az </w:t>
      </w:r>
      <w:r w:rsidRPr="00055041">
        <w:rPr>
          <w:rFonts w:eastAsia="Times New Roman"/>
          <w:i/>
          <w:lang w:eastAsia="hu-HU"/>
        </w:rPr>
        <w:t>alapítók akaratnyilatkozatára</w:t>
      </w:r>
      <w:r w:rsidRPr="00055041">
        <w:rPr>
          <w:rFonts w:eastAsia="Times New Roman"/>
          <w:lang w:eastAsia="hu-HU"/>
        </w:rPr>
        <w:t xml:space="preserve"> (pl. társasági szerződésre) </w:t>
      </w:r>
      <w:r w:rsidRPr="00055041">
        <w:rPr>
          <w:rFonts w:eastAsia="Times New Roman"/>
          <w:i/>
          <w:lang w:eastAsia="hu-HU"/>
        </w:rPr>
        <w:t xml:space="preserve">visszamenő hatályú </w:t>
      </w:r>
      <w:r w:rsidRPr="00055041">
        <w:rPr>
          <w:rFonts w:eastAsia="Times New Roman"/>
          <w:lang w:eastAsia="hu-HU"/>
        </w:rPr>
        <w:t xml:space="preserve">(ex </w:t>
      </w:r>
      <w:proofErr w:type="spellStart"/>
      <w:r w:rsidRPr="00055041">
        <w:rPr>
          <w:rFonts w:eastAsia="Times New Roman"/>
          <w:lang w:eastAsia="hu-HU"/>
        </w:rPr>
        <w:t>tunc</w:t>
      </w:r>
      <w:proofErr w:type="spellEnd"/>
      <w:r w:rsidRPr="00055041">
        <w:rPr>
          <w:rFonts w:eastAsia="Times New Roman"/>
          <w:lang w:eastAsia="hu-HU"/>
        </w:rPr>
        <w:t xml:space="preserve"> hatály).</w:t>
      </w:r>
    </w:p>
    <w:p w14:paraId="3C74DE53"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Mint </w:t>
      </w:r>
      <w:proofErr w:type="spellStart"/>
      <w:r w:rsidRPr="00055041">
        <w:rPr>
          <w:rFonts w:ascii="Times New Roman" w:eastAsia="Times New Roman" w:hAnsi="Times New Roman" w:cs="Times New Roman"/>
          <w:sz w:val="24"/>
          <w:szCs w:val="24"/>
          <w:lang w:eastAsia="hu-HU"/>
        </w:rPr>
        <w:t>mondottuk</w:t>
      </w:r>
      <w:proofErr w:type="spellEnd"/>
      <w:r w:rsidRPr="00055041">
        <w:rPr>
          <w:rFonts w:ascii="Times New Roman" w:eastAsia="Times New Roman" w:hAnsi="Times New Roman" w:cs="Times New Roman"/>
          <w:sz w:val="24"/>
          <w:szCs w:val="24"/>
          <w:lang w:eastAsia="hu-HU"/>
        </w:rPr>
        <w:t xml:space="preserve">, a </w:t>
      </w:r>
      <w:r w:rsidRPr="00055041">
        <w:rPr>
          <w:rFonts w:ascii="Times New Roman" w:eastAsia="Times New Roman" w:hAnsi="Times New Roman" w:cs="Times New Roman"/>
          <w:i/>
          <w:sz w:val="24"/>
          <w:szCs w:val="24"/>
          <w:lang w:eastAsia="hu-HU"/>
        </w:rPr>
        <w:t>jogi személy fogalma alapvetően a civil (polgári) jog alkotása</w:t>
      </w:r>
      <w:r w:rsidRPr="00055041">
        <w:rPr>
          <w:rFonts w:ascii="Times New Roman" w:eastAsia="Times New Roman" w:hAnsi="Times New Roman" w:cs="Times New Roman"/>
          <w:sz w:val="24"/>
          <w:szCs w:val="24"/>
          <w:lang w:eastAsia="hu-HU"/>
        </w:rPr>
        <w:t xml:space="preserve">, a polgári törvénykönyvek alapozzák meg a tételesjog oldaláról. A polgári jog tudománya pedig a </w:t>
      </w:r>
      <w:r w:rsidRPr="00055041">
        <w:rPr>
          <w:rFonts w:ascii="Times New Roman" w:eastAsia="Times New Roman" w:hAnsi="Times New Roman" w:cs="Times New Roman"/>
          <w:i/>
          <w:sz w:val="24"/>
          <w:szCs w:val="24"/>
          <w:lang w:eastAsia="hu-HU"/>
        </w:rPr>
        <w:t>jogi személy ún. kritériumainak</w:t>
      </w:r>
      <w:r w:rsidRPr="00055041">
        <w:rPr>
          <w:rFonts w:ascii="Times New Roman" w:eastAsia="Times New Roman" w:hAnsi="Times New Roman" w:cs="Times New Roman"/>
          <w:sz w:val="24"/>
          <w:szCs w:val="24"/>
          <w:lang w:eastAsia="hu-HU"/>
        </w:rPr>
        <w:t xml:space="preserve"> kidolgozásával igyekszik segíteni az állami döntéshozót a jogi </w:t>
      </w:r>
      <w:proofErr w:type="spellStart"/>
      <w:r w:rsidRPr="00055041">
        <w:rPr>
          <w:rFonts w:ascii="Times New Roman" w:eastAsia="Times New Roman" w:hAnsi="Times New Roman" w:cs="Times New Roman"/>
          <w:sz w:val="24"/>
          <w:szCs w:val="24"/>
          <w:lang w:eastAsia="hu-HU"/>
        </w:rPr>
        <w:t>személység</w:t>
      </w:r>
      <w:proofErr w:type="spellEnd"/>
      <w:r w:rsidRPr="00055041">
        <w:rPr>
          <w:rFonts w:ascii="Times New Roman" w:eastAsia="Times New Roman" w:hAnsi="Times New Roman" w:cs="Times New Roman"/>
          <w:sz w:val="24"/>
          <w:szCs w:val="24"/>
          <w:lang w:eastAsia="hu-HU"/>
        </w:rPr>
        <w:t xml:space="preserve"> megadásában, illetve elutasításában. </w:t>
      </w:r>
    </w:p>
    <w:p w14:paraId="6A81FD40" w14:textId="77777777" w:rsidR="00C022AA" w:rsidRPr="00055041" w:rsidRDefault="00C022AA" w:rsidP="00EC10C5">
      <w:pPr>
        <w:spacing w:after="60" w:line="240" w:lineRule="auto"/>
        <w:ind w:firstLine="709"/>
        <w:jc w:val="both"/>
        <w:rPr>
          <w:rFonts w:ascii="Times New Roman" w:eastAsia="Times New Roman" w:hAnsi="Times New Roman" w:cs="Times New Roman"/>
          <w:i/>
          <w:sz w:val="24"/>
          <w:szCs w:val="24"/>
          <w:lang w:eastAsia="hu-HU"/>
        </w:rPr>
      </w:pPr>
      <w:r w:rsidRPr="00055041">
        <w:rPr>
          <w:rFonts w:ascii="Times New Roman" w:eastAsia="Times New Roman" w:hAnsi="Times New Roman" w:cs="Times New Roman"/>
          <w:i/>
          <w:sz w:val="24"/>
          <w:szCs w:val="24"/>
          <w:lang w:eastAsia="hu-HU"/>
        </w:rPr>
        <w:t>A jogi személy kritériumai</w:t>
      </w:r>
    </w:p>
    <w:p w14:paraId="17DD7E0F" w14:textId="77777777" w:rsidR="00C022AA" w:rsidRPr="00055041" w:rsidRDefault="00C022AA" w:rsidP="00EC10C5">
      <w:pPr>
        <w:pStyle w:val="Stlus2"/>
        <w:rPr>
          <w:rFonts w:eastAsia="Times New Roman"/>
          <w:lang w:eastAsia="hu-HU"/>
        </w:rPr>
      </w:pPr>
      <w:r w:rsidRPr="00055041">
        <w:rPr>
          <w:rFonts w:eastAsia="Times New Roman"/>
          <w:lang w:eastAsia="hu-HU"/>
        </w:rPr>
        <w:t>a szervezet megkülönböztetéséhez szükséges név,</w:t>
      </w:r>
    </w:p>
    <w:p w14:paraId="2739B7F4" w14:textId="77777777" w:rsidR="00C022AA" w:rsidRPr="00055041" w:rsidRDefault="00C022AA" w:rsidP="00EC10C5">
      <w:pPr>
        <w:pStyle w:val="Stlus2"/>
        <w:rPr>
          <w:rFonts w:eastAsia="Times New Roman"/>
          <w:lang w:eastAsia="hu-HU"/>
        </w:rPr>
      </w:pPr>
      <w:r w:rsidRPr="00055041">
        <w:rPr>
          <w:rFonts w:eastAsia="Times New Roman"/>
          <w:lang w:eastAsia="hu-HU"/>
        </w:rPr>
        <w:t>ügyintéző és képviselő szervek léte, amelyek révén részt tud fenni a szervezet a kereskedelmi forgalomban,</w:t>
      </w:r>
    </w:p>
    <w:p w14:paraId="6C52CF73" w14:textId="77777777" w:rsidR="00C022AA" w:rsidRPr="00C022AA" w:rsidRDefault="00C022AA" w:rsidP="00EC10C5">
      <w:pPr>
        <w:pStyle w:val="Stlus2"/>
        <w:rPr>
          <w:rFonts w:eastAsia="Times New Roman"/>
          <w:lang w:eastAsia="hu-HU"/>
        </w:rPr>
      </w:pPr>
      <w:r w:rsidRPr="00055041">
        <w:rPr>
          <w:rFonts w:eastAsia="Times New Roman"/>
          <w:lang w:eastAsia="hu-HU"/>
        </w:rPr>
        <w:t>az alapítóktól, tagoktól viszonylag önálló elkülönült vagyon és erre alapozottan önálló vagyoni felelősség (e felelősségnek nem kell kizárólagosnak lennie, lehetséges másodlagos alapítói–tagi felelősség is).</w:t>
      </w:r>
    </w:p>
    <w:p w14:paraId="3FED5761"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b/>
          <w:sz w:val="24"/>
          <w:szCs w:val="24"/>
        </w:rPr>
        <w:t>A.3. Természetes személy – jogi személy. Azonosságok és különbségek</w:t>
      </w:r>
    </w:p>
    <w:p w14:paraId="0F3DED99"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szervezet nem ember, de emberekből áll, emberek tevékenykednek benne. A jogi személy polgári jogi jogalanyiságának tartalma </w:t>
      </w:r>
      <w:r w:rsidRPr="00055041">
        <w:rPr>
          <w:rFonts w:ascii="Times New Roman" w:eastAsia="Times New Roman" w:hAnsi="Times New Roman" w:cs="Times New Roman"/>
          <w:i/>
          <w:sz w:val="24"/>
          <w:szCs w:val="24"/>
          <w:lang w:eastAsia="hu-HU"/>
        </w:rPr>
        <w:t>csak részlegesen</w:t>
      </w:r>
      <w:r w:rsidRPr="00055041">
        <w:rPr>
          <w:rFonts w:ascii="Times New Roman" w:eastAsia="Times New Roman" w:hAnsi="Times New Roman" w:cs="Times New Roman"/>
          <w:sz w:val="24"/>
          <w:szCs w:val="24"/>
          <w:lang w:eastAsia="hu-HU"/>
        </w:rPr>
        <w:t xml:space="preserve"> lehet azonos a természetes személyek jogképességével.</w:t>
      </w:r>
    </w:p>
    <w:p w14:paraId="55D0B363"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lastRenderedPageBreak/>
        <w:t xml:space="preserve">A legalapvetőbb </w:t>
      </w:r>
      <w:r w:rsidRPr="00055041">
        <w:rPr>
          <w:rFonts w:ascii="Times New Roman" w:eastAsia="Times New Roman" w:hAnsi="Times New Roman" w:cs="Times New Roman"/>
          <w:i/>
          <w:sz w:val="24"/>
          <w:szCs w:val="24"/>
          <w:lang w:eastAsia="hu-HU"/>
        </w:rPr>
        <w:t>különbség</w:t>
      </w:r>
      <w:r w:rsidRPr="00055041">
        <w:rPr>
          <w:rFonts w:ascii="Times New Roman" w:eastAsia="Times New Roman" w:hAnsi="Times New Roman" w:cs="Times New Roman"/>
          <w:sz w:val="24"/>
          <w:szCs w:val="24"/>
          <w:lang w:eastAsia="hu-HU"/>
        </w:rPr>
        <w:t xml:space="preserve">, hogy a </w:t>
      </w:r>
      <w:r w:rsidRPr="00055041">
        <w:rPr>
          <w:rFonts w:ascii="Times New Roman" w:eastAsia="Times New Roman" w:hAnsi="Times New Roman" w:cs="Times New Roman"/>
          <w:i/>
          <w:sz w:val="24"/>
          <w:szCs w:val="24"/>
          <w:lang w:eastAsia="hu-HU"/>
        </w:rPr>
        <w:t>jogi személy cselekvőképtelen</w:t>
      </w:r>
      <w:r w:rsidRPr="00055041">
        <w:rPr>
          <w:rFonts w:ascii="Times New Roman" w:eastAsia="Times New Roman" w:hAnsi="Times New Roman" w:cs="Times New Roman"/>
          <w:sz w:val="24"/>
          <w:szCs w:val="24"/>
          <w:lang w:eastAsia="hu-HU"/>
        </w:rPr>
        <w:t xml:space="preserve"> (a kártérítési felelősség szempontjából viszont vétóképessége van). A jogi személy nevében törvényes szervezeti képviselője cselekszik (pl. a kft. ügyvezető).</w:t>
      </w:r>
    </w:p>
    <w:p w14:paraId="427ECEA2"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személyekre nézve eredetileg (a kezdeti időkben) általános jelleggel jellemző volt a </w:t>
      </w:r>
      <w:r w:rsidRPr="00055041">
        <w:rPr>
          <w:rFonts w:ascii="Times New Roman" w:eastAsia="Times New Roman" w:hAnsi="Times New Roman" w:cs="Times New Roman"/>
          <w:i/>
          <w:sz w:val="24"/>
          <w:szCs w:val="24"/>
          <w:lang w:eastAsia="hu-HU"/>
        </w:rPr>
        <w:t>relatív jogképesség,</w:t>
      </w:r>
      <w:r w:rsidRPr="00055041">
        <w:rPr>
          <w:rFonts w:ascii="Times New Roman" w:eastAsia="Times New Roman" w:hAnsi="Times New Roman" w:cs="Times New Roman"/>
          <w:sz w:val="24"/>
          <w:szCs w:val="24"/>
          <w:lang w:eastAsia="hu-HU"/>
        </w:rPr>
        <w:t xml:space="preserve"> az </w:t>
      </w:r>
      <w:r w:rsidRPr="00055041">
        <w:rPr>
          <w:rFonts w:ascii="Times New Roman" w:eastAsia="Times New Roman" w:hAnsi="Times New Roman" w:cs="Times New Roman"/>
          <w:i/>
          <w:sz w:val="24"/>
          <w:szCs w:val="24"/>
          <w:lang w:eastAsia="hu-HU"/>
        </w:rPr>
        <w:t xml:space="preserve">ún. ultra </w:t>
      </w:r>
      <w:proofErr w:type="spellStart"/>
      <w:r w:rsidRPr="00055041">
        <w:rPr>
          <w:rFonts w:ascii="Times New Roman" w:eastAsia="Times New Roman" w:hAnsi="Times New Roman" w:cs="Times New Roman"/>
          <w:i/>
          <w:sz w:val="24"/>
          <w:szCs w:val="24"/>
          <w:lang w:eastAsia="hu-HU"/>
        </w:rPr>
        <w:t>vires</w:t>
      </w:r>
      <w:proofErr w:type="spellEnd"/>
      <w:r w:rsidRPr="00055041">
        <w:rPr>
          <w:rFonts w:ascii="Times New Roman" w:eastAsia="Times New Roman" w:hAnsi="Times New Roman" w:cs="Times New Roman"/>
          <w:i/>
          <w:sz w:val="24"/>
          <w:szCs w:val="24"/>
          <w:lang w:eastAsia="hu-HU"/>
        </w:rPr>
        <w:t xml:space="preserve"> tan,</w:t>
      </w:r>
      <w:r w:rsidRPr="00055041">
        <w:rPr>
          <w:rFonts w:ascii="Times New Roman" w:eastAsia="Times New Roman" w:hAnsi="Times New Roman" w:cs="Times New Roman"/>
          <w:sz w:val="24"/>
          <w:szCs w:val="24"/>
          <w:lang w:eastAsia="hu-HU"/>
        </w:rPr>
        <w:t xml:space="preserve"> amelynek lényege, hogy a jogi személy </w:t>
      </w:r>
      <w:r w:rsidRPr="00055041">
        <w:rPr>
          <w:rFonts w:ascii="Times New Roman" w:eastAsia="Times New Roman" w:hAnsi="Times New Roman" w:cs="Times New Roman"/>
          <w:i/>
          <w:sz w:val="24"/>
          <w:szCs w:val="24"/>
          <w:lang w:eastAsia="hu-HU"/>
        </w:rPr>
        <w:t>csak tevékenységi körén belül rendelkezik jogokkal és kötelezettségekkel</w:t>
      </w:r>
      <w:r w:rsidRPr="00055041">
        <w:rPr>
          <w:rFonts w:ascii="Times New Roman" w:eastAsia="Times New Roman" w:hAnsi="Times New Roman" w:cs="Times New Roman"/>
          <w:sz w:val="24"/>
          <w:szCs w:val="24"/>
          <w:lang w:eastAsia="hu-HU"/>
        </w:rPr>
        <w:t xml:space="preserve"> a tevékenységi körön túllépő szerződések érvénytelenek. Az ultra </w:t>
      </w:r>
      <w:proofErr w:type="spellStart"/>
      <w:r w:rsidRPr="00055041">
        <w:rPr>
          <w:rFonts w:ascii="Times New Roman" w:eastAsia="Times New Roman" w:hAnsi="Times New Roman" w:cs="Times New Roman"/>
          <w:sz w:val="24"/>
          <w:szCs w:val="24"/>
          <w:lang w:eastAsia="hu-HU"/>
        </w:rPr>
        <w:t>vires</w:t>
      </w:r>
      <w:proofErr w:type="spellEnd"/>
      <w:r w:rsidRPr="00055041">
        <w:rPr>
          <w:rFonts w:ascii="Times New Roman" w:eastAsia="Times New Roman" w:hAnsi="Times New Roman" w:cs="Times New Roman"/>
          <w:sz w:val="24"/>
          <w:szCs w:val="24"/>
          <w:lang w:eastAsia="hu-HU"/>
        </w:rPr>
        <w:t xml:space="preserve"> ma is jellemző az ún. angol–amerikai jogcsoportra és meglehetősen általános volt a szocialista jogokban is. A kontinentális polgári Európában azonban a 20. században általánossá vált a </w:t>
      </w:r>
      <w:r w:rsidRPr="00055041">
        <w:rPr>
          <w:rFonts w:ascii="Times New Roman" w:eastAsia="Times New Roman" w:hAnsi="Times New Roman" w:cs="Times New Roman"/>
          <w:i/>
          <w:sz w:val="24"/>
          <w:szCs w:val="24"/>
          <w:lang w:eastAsia="hu-HU"/>
        </w:rPr>
        <w:t>jogi személyek</w:t>
      </w:r>
      <w:r w:rsidRPr="00055041">
        <w:rPr>
          <w:rFonts w:ascii="Times New Roman" w:eastAsia="Times New Roman" w:hAnsi="Times New Roman" w:cs="Times New Roman"/>
          <w:sz w:val="24"/>
          <w:szCs w:val="24"/>
          <w:lang w:eastAsia="hu-HU"/>
        </w:rPr>
        <w:t xml:space="preserve"> </w:t>
      </w:r>
      <w:r w:rsidRPr="00055041">
        <w:rPr>
          <w:rFonts w:ascii="Times New Roman" w:eastAsia="Times New Roman" w:hAnsi="Times New Roman" w:cs="Times New Roman"/>
          <w:i/>
          <w:sz w:val="24"/>
          <w:szCs w:val="24"/>
          <w:lang w:eastAsia="hu-HU"/>
        </w:rPr>
        <w:t>abszolút jogképessége,</w:t>
      </w:r>
      <w:r w:rsidRPr="00055041">
        <w:rPr>
          <w:rFonts w:ascii="Times New Roman" w:eastAsia="Times New Roman" w:hAnsi="Times New Roman" w:cs="Times New Roman"/>
          <w:sz w:val="24"/>
          <w:szCs w:val="24"/>
          <w:lang w:eastAsia="hu-HU"/>
        </w:rPr>
        <w:t xml:space="preserve"> azaz, hogy a jogi személyt minden polgári alanyi jog és kötelezettség megilleti, ami jellegénél fogva nem az emberi mivolthoz fűződik. Az 1959-es magyar Ptk. még a jogi személyek relatív jogképessége elve alapján állt, 1977-ben azonban a Ptk. módosításával Magyarországon is kimondásra került a jogi személyek abszolút jogképessége.</w:t>
      </w:r>
    </w:p>
    <w:p w14:paraId="15C9E563"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szakirodalomban egyre jobban felismerték, hogy a szervezet nem mesterségesen alanya a jognak, ugyanakkor sokkal nehezebben perszonifikálható, mint az ember, </w:t>
      </w:r>
      <w:r w:rsidRPr="00055041">
        <w:rPr>
          <w:rFonts w:ascii="Times New Roman" w:eastAsia="Times New Roman" w:hAnsi="Times New Roman" w:cs="Times New Roman"/>
          <w:i/>
          <w:sz w:val="24"/>
          <w:szCs w:val="24"/>
          <w:lang w:eastAsia="hu-HU"/>
        </w:rPr>
        <w:t>jogképessége más</w:t>
      </w:r>
      <w:r w:rsidRPr="00055041">
        <w:rPr>
          <w:rFonts w:ascii="Times New Roman" w:eastAsia="Times New Roman" w:hAnsi="Times New Roman" w:cs="Times New Roman"/>
          <w:sz w:val="24"/>
          <w:szCs w:val="24"/>
          <w:lang w:eastAsia="hu-HU"/>
        </w:rPr>
        <w:t>. Pl. az embernél számba sem jöhetnek olyan belső szervezeti jogalanyisági problémák, mint a jogi személyeknél, viszont a jogi személyeknek nincsenek, mondjuk családjogi jogviszonyai. Ugyanakkor a név, illetve jó hírnév, avagy a titokvédelem a természetes és a jogi személyekre egyaránt jellemző.</w:t>
      </w:r>
    </w:p>
    <w:p w14:paraId="7D71B3D8" w14:textId="77777777" w:rsidR="00C022AA" w:rsidRPr="00055041" w:rsidRDefault="00C022AA" w:rsidP="00EC10C5">
      <w:pPr>
        <w:spacing w:after="60" w:line="240" w:lineRule="auto"/>
        <w:ind w:firstLine="709"/>
        <w:rPr>
          <w:rFonts w:ascii="Times New Roman" w:hAnsi="Times New Roman" w:cs="Times New Roman"/>
          <w:sz w:val="24"/>
          <w:szCs w:val="24"/>
        </w:rPr>
      </w:pPr>
    </w:p>
    <w:p w14:paraId="0E0D5E1B"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b/>
          <w:sz w:val="24"/>
          <w:szCs w:val="24"/>
        </w:rPr>
        <w:t>A.7. A jogi személyek jogrendszerbeli elhelyezkedése – magyar jogfejlődés menete</w:t>
      </w:r>
    </w:p>
    <w:p w14:paraId="31DFF65F" w14:textId="77777777" w:rsidR="00C022AA" w:rsidRPr="00C022AA" w:rsidRDefault="00C022AA" w:rsidP="00EC10C5">
      <w:pPr>
        <w:pStyle w:val="Stlus1"/>
      </w:pPr>
      <w:r w:rsidRPr="00C022AA">
        <w:t>Dualista – monista megoldások</w:t>
      </w:r>
    </w:p>
    <w:p w14:paraId="77FB55B4" w14:textId="77777777" w:rsidR="00C022AA" w:rsidRPr="00055041" w:rsidRDefault="00C022AA" w:rsidP="00EC10C5">
      <w:pPr>
        <w:spacing w:after="60" w:line="240" w:lineRule="auto"/>
        <w:ind w:firstLine="709"/>
        <w:jc w:val="both"/>
        <w:rPr>
          <w:rFonts w:ascii="Times New Roman" w:hAnsi="Times New Roman" w:cs="Times New Roman"/>
          <w:sz w:val="24"/>
          <w:szCs w:val="24"/>
        </w:rPr>
      </w:pPr>
      <w:r w:rsidRPr="00055041">
        <w:rPr>
          <w:rFonts w:ascii="Times New Roman" w:hAnsi="Times New Roman" w:cs="Times New Roman"/>
          <w:sz w:val="24"/>
          <w:szCs w:val="24"/>
        </w:rPr>
        <w:t>A hagyományos kontinentális, ún. duális rendszerekben (Polgári Törvénykönyv – Kereskedelmi Törvénykönyv kettősége – német, francia jog) a jogi személyek általános szabályait a Ptk., a kereskedelmi társaságok szabályait a Kt. tartalmazza. A kereskedelmi társaságok joganyaga idővel annyira bővült, hogy a Kt.-hez kötődően, de a kft.-</w:t>
      </w:r>
      <w:proofErr w:type="spellStart"/>
      <w:r w:rsidRPr="00055041">
        <w:rPr>
          <w:rFonts w:ascii="Times New Roman" w:hAnsi="Times New Roman" w:cs="Times New Roman"/>
          <w:sz w:val="24"/>
          <w:szCs w:val="24"/>
        </w:rPr>
        <w:t>ről</w:t>
      </w:r>
      <w:proofErr w:type="spellEnd"/>
      <w:r w:rsidRPr="00055041">
        <w:rPr>
          <w:rFonts w:ascii="Times New Roman" w:hAnsi="Times New Roman" w:cs="Times New Roman"/>
          <w:sz w:val="24"/>
          <w:szCs w:val="24"/>
        </w:rPr>
        <w:t xml:space="preserve"> és a rt.-ről sok országban külön-külön törvényt is alkottak, illetve esetlegesen a kereskedelmi társaságokat együtt külön törvényben szabályozták.</w:t>
      </w:r>
    </w:p>
    <w:p w14:paraId="0013C744" w14:textId="77777777" w:rsidR="00C022AA" w:rsidRDefault="00C022AA" w:rsidP="00EC10C5">
      <w:pPr>
        <w:spacing w:after="60" w:line="240" w:lineRule="auto"/>
        <w:ind w:firstLine="709"/>
        <w:jc w:val="both"/>
        <w:rPr>
          <w:rFonts w:ascii="Times New Roman" w:hAnsi="Times New Roman" w:cs="Times New Roman"/>
          <w:sz w:val="24"/>
          <w:szCs w:val="24"/>
        </w:rPr>
      </w:pPr>
      <w:r w:rsidRPr="00055041">
        <w:rPr>
          <w:rFonts w:ascii="Times New Roman" w:hAnsi="Times New Roman" w:cs="Times New Roman"/>
          <w:sz w:val="24"/>
          <w:szCs w:val="24"/>
        </w:rPr>
        <w:t xml:space="preserve">A 19. század zömmel duális rendszereivel szemben a 20. században egyre jobban előtérbe került az ún. </w:t>
      </w:r>
      <w:r w:rsidRPr="00055041">
        <w:rPr>
          <w:rFonts w:ascii="Times New Roman" w:hAnsi="Times New Roman" w:cs="Times New Roman"/>
          <w:i/>
          <w:sz w:val="24"/>
          <w:szCs w:val="24"/>
        </w:rPr>
        <w:t>monista megoldás</w:t>
      </w:r>
      <w:r w:rsidRPr="00055041">
        <w:rPr>
          <w:rFonts w:ascii="Times New Roman" w:hAnsi="Times New Roman" w:cs="Times New Roman"/>
          <w:sz w:val="24"/>
          <w:szCs w:val="24"/>
        </w:rPr>
        <w:t xml:space="preserve"> (Svájc, Olaszország, Hollandia, Brazília, Oroszország). Ennek lényege, hogy nincs Kereskedelmi Törvénykönyv és a gazdasági társaságok is a Ptk.-hoz kapcsolódnak, mégpedig vagy áttételesen, azaz a Ptk.-hoz kötődő külön törvények útján, vagy a társasági joganyag teljes egészében bekerül a Polgári Törvénykönyvbe. Ezt az utóbbi megoldást választotta az új magyar Polgári Törvénykönyv is, mégpedig sajátos módon, önálló jogi személy könyvet alkotva. (ez a megoldás egyedülálló a nemzetközi összehasonlításban.)</w:t>
      </w:r>
    </w:p>
    <w:p w14:paraId="11D02C56" w14:textId="77777777" w:rsidR="00497C13" w:rsidRPr="00055041" w:rsidRDefault="00497C13" w:rsidP="00EC10C5">
      <w:pPr>
        <w:spacing w:after="60" w:line="240" w:lineRule="auto"/>
        <w:ind w:firstLine="709"/>
        <w:jc w:val="both"/>
        <w:rPr>
          <w:rFonts w:ascii="Times New Roman" w:hAnsi="Times New Roman" w:cs="Times New Roman"/>
          <w:sz w:val="24"/>
          <w:szCs w:val="24"/>
        </w:rPr>
      </w:pPr>
    </w:p>
    <w:p w14:paraId="7A418E4C" w14:textId="77777777" w:rsidR="00C022AA" w:rsidRPr="00C022AA" w:rsidRDefault="00C022AA" w:rsidP="00EC10C5">
      <w:pPr>
        <w:pStyle w:val="Cmsor2"/>
        <w:ind w:firstLine="709"/>
        <w:rPr>
          <w:rFonts w:ascii="Times New Roman" w:hAnsi="Times New Roman" w:cs="Times New Roman"/>
          <w:b/>
          <w:sz w:val="24"/>
          <w:szCs w:val="24"/>
        </w:rPr>
      </w:pPr>
      <w:r w:rsidRPr="00C022AA">
        <w:rPr>
          <w:rFonts w:ascii="Times New Roman" w:hAnsi="Times New Roman" w:cs="Times New Roman"/>
          <w:b/>
          <w:sz w:val="24"/>
          <w:szCs w:val="24"/>
        </w:rPr>
        <w:t>A.8. A Ptk. „jogi személy” könyve</w:t>
      </w:r>
    </w:p>
    <w:p w14:paraId="3FFCE3CD" w14:textId="77777777" w:rsidR="00C022AA" w:rsidRDefault="00C022AA" w:rsidP="00EC10C5">
      <w:pPr>
        <w:spacing w:after="60" w:line="240" w:lineRule="auto"/>
        <w:ind w:firstLine="709"/>
        <w:jc w:val="both"/>
        <w:rPr>
          <w:rFonts w:ascii="Times New Roman" w:hAnsi="Times New Roman" w:cs="Times New Roman"/>
          <w:sz w:val="24"/>
          <w:szCs w:val="24"/>
        </w:rPr>
      </w:pPr>
      <w:r w:rsidRPr="00055041">
        <w:rPr>
          <w:rFonts w:ascii="Times New Roman" w:hAnsi="Times New Roman" w:cs="Times New Roman"/>
          <w:sz w:val="24"/>
          <w:szCs w:val="24"/>
        </w:rPr>
        <w:t xml:space="preserve">A </w:t>
      </w:r>
      <w:proofErr w:type="gramStart"/>
      <w:r w:rsidRPr="00055041">
        <w:rPr>
          <w:rFonts w:ascii="Times New Roman" w:hAnsi="Times New Roman" w:cs="Times New Roman"/>
          <w:sz w:val="24"/>
          <w:szCs w:val="24"/>
        </w:rPr>
        <w:t>szabad piaci</w:t>
      </w:r>
      <w:proofErr w:type="gramEnd"/>
      <w:r w:rsidRPr="00055041">
        <w:rPr>
          <w:rFonts w:ascii="Times New Roman" w:hAnsi="Times New Roman" w:cs="Times New Roman"/>
          <w:sz w:val="24"/>
          <w:szCs w:val="24"/>
        </w:rPr>
        <w:t xml:space="preserve"> versenygazdaság törvényei 1989–1995 között külön törvények formájában születtek meg, az 1959-es Ptk. – természetesen számos módosítással – hatályban maradt. Nyilván előbb-utóbb létre kellett hozni az új Ptk.-t, melynek megalkotására irányuló munkálatok 1998 tavaszán kezdődtek. Az Országgyűlés végül 2013. február 11-én fogadta el az új Ptk.-t, a Polgári Törvénykönyvről szóló </w:t>
      </w:r>
      <w:r w:rsidRPr="00055041">
        <w:rPr>
          <w:rFonts w:ascii="Times New Roman" w:hAnsi="Times New Roman" w:cs="Times New Roman"/>
          <w:i/>
          <w:sz w:val="24"/>
          <w:szCs w:val="24"/>
        </w:rPr>
        <w:t>2013. évi V. törvényt</w:t>
      </w:r>
      <w:r w:rsidRPr="00055041">
        <w:rPr>
          <w:rFonts w:ascii="Times New Roman" w:hAnsi="Times New Roman" w:cs="Times New Roman"/>
          <w:sz w:val="24"/>
          <w:szCs w:val="24"/>
        </w:rPr>
        <w:t xml:space="preserve"> (továbbiakban Ptk.), amely megfelelő felkészülési idő után 2014. március 15-én lépett hatályba. </w:t>
      </w:r>
    </w:p>
    <w:p w14:paraId="63BC105A" w14:textId="77777777" w:rsidR="00C022AA" w:rsidRPr="00055041" w:rsidRDefault="00C022AA" w:rsidP="00EC10C5">
      <w:pPr>
        <w:spacing w:after="60" w:line="240" w:lineRule="auto"/>
        <w:ind w:firstLine="709"/>
        <w:jc w:val="both"/>
        <w:rPr>
          <w:rFonts w:ascii="Times New Roman" w:hAnsi="Times New Roman" w:cs="Times New Roman"/>
          <w:sz w:val="24"/>
          <w:szCs w:val="24"/>
        </w:rPr>
      </w:pPr>
    </w:p>
    <w:p w14:paraId="40CC4794" w14:textId="77777777" w:rsidR="00C022AA" w:rsidRPr="00C022AA" w:rsidRDefault="00C022AA" w:rsidP="00EC10C5">
      <w:pPr>
        <w:pStyle w:val="Stlus1"/>
      </w:pPr>
      <w:r w:rsidRPr="00C022AA">
        <w:t>A Polgári Törvénykönyv monista megoldásáról és felépítéséről</w:t>
      </w:r>
    </w:p>
    <w:p w14:paraId="77E2CE68" w14:textId="77777777" w:rsidR="00C022AA" w:rsidRDefault="00C022AA" w:rsidP="00EC10C5">
      <w:pPr>
        <w:spacing w:after="60" w:line="240" w:lineRule="auto"/>
        <w:ind w:firstLine="709"/>
        <w:jc w:val="both"/>
        <w:rPr>
          <w:rFonts w:ascii="Times New Roman" w:hAnsi="Times New Roman" w:cs="Times New Roman"/>
          <w:sz w:val="24"/>
          <w:szCs w:val="24"/>
        </w:rPr>
      </w:pPr>
      <w:r w:rsidRPr="00055041">
        <w:rPr>
          <w:rFonts w:ascii="Times New Roman" w:hAnsi="Times New Roman" w:cs="Times New Roman"/>
          <w:i/>
          <w:sz w:val="24"/>
          <w:szCs w:val="24"/>
        </w:rPr>
        <w:t>Az új Ptk. könyvekből áll.</w:t>
      </w:r>
      <w:r w:rsidRPr="00055041">
        <w:rPr>
          <w:rFonts w:ascii="Times New Roman" w:hAnsi="Times New Roman" w:cs="Times New Roman"/>
          <w:sz w:val="24"/>
          <w:szCs w:val="24"/>
        </w:rPr>
        <w:t xml:space="preserve"> (Nyolc könyv.) Rövid bevezetés után következnek a polgári jog egyes területeit szabályozó könyvek: Személyek + Jogi személyek + Családi jog + Dologi </w:t>
      </w:r>
      <w:r w:rsidRPr="00055041">
        <w:rPr>
          <w:rFonts w:ascii="Times New Roman" w:hAnsi="Times New Roman" w:cs="Times New Roman"/>
          <w:sz w:val="24"/>
          <w:szCs w:val="24"/>
        </w:rPr>
        <w:lastRenderedPageBreak/>
        <w:t>jog + Kötelmi jog + Örökjog, majd rövid záró rendelkezésekkel zárul a mintegy ezerhatszáz paragrafusból álló óriási kódex, a civil vagyoni és személyi viszonyok egységes alapszabályozása.</w:t>
      </w:r>
    </w:p>
    <w:p w14:paraId="53155D39" w14:textId="77777777" w:rsidR="00C022AA" w:rsidRPr="00055041" w:rsidRDefault="00C022AA" w:rsidP="00EC10C5">
      <w:pPr>
        <w:spacing w:after="60" w:line="240" w:lineRule="auto"/>
        <w:ind w:firstLine="709"/>
        <w:jc w:val="both"/>
        <w:rPr>
          <w:rFonts w:ascii="Times New Roman" w:hAnsi="Times New Roman" w:cs="Times New Roman"/>
          <w:sz w:val="24"/>
          <w:szCs w:val="24"/>
        </w:rPr>
      </w:pPr>
    </w:p>
    <w:p w14:paraId="75A62DD8" w14:textId="77777777" w:rsidR="00C022AA" w:rsidRPr="00055041" w:rsidRDefault="00C022AA" w:rsidP="00EC10C5">
      <w:pPr>
        <w:pStyle w:val="Stlus1"/>
      </w:pPr>
      <w:r w:rsidRPr="00055041">
        <w:t>A jogi személyekről szóló „harmadik könyv”</w:t>
      </w:r>
    </w:p>
    <w:p w14:paraId="0339A505" w14:textId="77777777" w:rsidR="00C022AA" w:rsidRDefault="00C022AA" w:rsidP="00EC10C5">
      <w:pPr>
        <w:spacing w:after="60" w:line="240" w:lineRule="auto"/>
        <w:ind w:firstLine="709"/>
        <w:rPr>
          <w:rFonts w:ascii="Times New Roman" w:eastAsia="Times New Roman" w:hAnsi="Times New Roman" w:cs="Times New Roman"/>
          <w:sz w:val="24"/>
          <w:szCs w:val="24"/>
          <w:lang w:eastAsia="hu-HU"/>
        </w:rPr>
      </w:pPr>
      <w:r w:rsidRPr="00055041">
        <w:rPr>
          <w:rFonts w:ascii="Times New Roman" w:eastAsia="Times New Roman" w:hAnsi="Times New Roman" w:cs="Times New Roman"/>
          <w:i/>
          <w:sz w:val="24"/>
          <w:szCs w:val="24"/>
          <w:lang w:eastAsia="hu-HU"/>
        </w:rPr>
        <w:t>Az új Ptk. jogi személyekről szóló 3. könyve</w:t>
      </w:r>
      <w:r w:rsidRPr="00055041">
        <w:rPr>
          <w:rFonts w:ascii="Times New Roman" w:eastAsia="Times New Roman" w:hAnsi="Times New Roman" w:cs="Times New Roman"/>
          <w:sz w:val="24"/>
          <w:szCs w:val="24"/>
          <w:lang w:eastAsia="hu-HU"/>
        </w:rPr>
        <w:t xml:space="preserve"> összesen több mint négyszáz paragrafusból áll, a Ptk. egyik legterjedelmesebb könyve. A könyv a </w:t>
      </w:r>
      <w:r w:rsidRPr="00055041">
        <w:rPr>
          <w:rFonts w:ascii="Times New Roman" w:eastAsia="Times New Roman" w:hAnsi="Times New Roman" w:cs="Times New Roman"/>
          <w:i/>
          <w:sz w:val="24"/>
          <w:szCs w:val="24"/>
          <w:lang w:eastAsia="hu-HU"/>
        </w:rPr>
        <w:t>jogi személyek közös szabályai</w:t>
      </w:r>
      <w:r w:rsidRPr="00055041">
        <w:rPr>
          <w:rFonts w:ascii="Times New Roman" w:eastAsia="Times New Roman" w:hAnsi="Times New Roman" w:cs="Times New Roman"/>
          <w:sz w:val="24"/>
          <w:szCs w:val="24"/>
          <w:lang w:eastAsia="hu-HU"/>
        </w:rPr>
        <w:t xml:space="preserve">val indul, és ezt követik külön részekben a </w:t>
      </w:r>
      <w:r w:rsidRPr="00055041">
        <w:rPr>
          <w:rFonts w:ascii="Times New Roman" w:eastAsia="Times New Roman" w:hAnsi="Times New Roman" w:cs="Times New Roman"/>
          <w:i/>
          <w:sz w:val="24"/>
          <w:szCs w:val="24"/>
          <w:lang w:eastAsia="hu-HU"/>
        </w:rPr>
        <w:t>jogi személyek alaptípusai</w:t>
      </w:r>
      <w:r w:rsidRPr="00055041">
        <w:rPr>
          <w:rFonts w:ascii="Times New Roman" w:eastAsia="Times New Roman" w:hAnsi="Times New Roman" w:cs="Times New Roman"/>
          <w:sz w:val="24"/>
          <w:szCs w:val="24"/>
          <w:lang w:eastAsia="hu-HU"/>
        </w:rPr>
        <w:t xml:space="preserve">, nevezetesen a) az egyesület, b) a </w:t>
      </w:r>
      <w:r w:rsidRPr="00055041">
        <w:rPr>
          <w:rFonts w:ascii="Times New Roman" w:eastAsia="Times New Roman" w:hAnsi="Times New Roman" w:cs="Times New Roman"/>
          <w:i/>
          <w:sz w:val="24"/>
          <w:szCs w:val="24"/>
          <w:lang w:eastAsia="hu-HU"/>
        </w:rPr>
        <w:t>gazdasági társaságok – a gazdasági társaságokra vonatkozó általános szabályokkal -</w:t>
      </w:r>
      <w:r w:rsidRPr="00055041">
        <w:rPr>
          <w:rFonts w:ascii="Times New Roman" w:eastAsia="Times New Roman" w:hAnsi="Times New Roman" w:cs="Times New Roman"/>
          <w:sz w:val="24"/>
          <w:szCs w:val="24"/>
          <w:lang w:eastAsia="hu-HU"/>
        </w:rPr>
        <w:t xml:space="preserve"> majd a négy jogi személy társaság speciális szabályaival: </w:t>
      </w:r>
      <w:proofErr w:type="spellStart"/>
      <w:r w:rsidRPr="00055041">
        <w:rPr>
          <w:rFonts w:ascii="Times New Roman" w:eastAsia="Times New Roman" w:hAnsi="Times New Roman" w:cs="Times New Roman"/>
          <w:sz w:val="24"/>
          <w:szCs w:val="24"/>
          <w:lang w:eastAsia="hu-HU"/>
        </w:rPr>
        <w:t>kkt.</w:t>
      </w:r>
      <w:proofErr w:type="spellEnd"/>
      <w:r w:rsidRPr="00055041">
        <w:rPr>
          <w:rFonts w:ascii="Times New Roman" w:eastAsia="Times New Roman" w:hAnsi="Times New Roman" w:cs="Times New Roman"/>
          <w:sz w:val="24"/>
          <w:szCs w:val="24"/>
          <w:lang w:eastAsia="hu-HU"/>
        </w:rPr>
        <w:t>, bt., kft., rt., c) a szövetkezet, d) az egyesülés, e) az alapítvány, f) végül az állam, mint jogi személy.</w:t>
      </w:r>
    </w:p>
    <w:p w14:paraId="557C5382" w14:textId="77777777" w:rsidR="005923B1" w:rsidRDefault="005923B1" w:rsidP="00EC10C5">
      <w:pPr>
        <w:spacing w:after="60" w:line="240" w:lineRule="auto"/>
        <w:ind w:firstLine="709"/>
        <w:rPr>
          <w:rFonts w:ascii="Times New Roman" w:eastAsia="Times New Roman" w:hAnsi="Times New Roman" w:cs="Times New Roman"/>
          <w:sz w:val="24"/>
          <w:szCs w:val="24"/>
          <w:lang w:eastAsia="hu-HU"/>
        </w:rPr>
      </w:pPr>
    </w:p>
    <w:p w14:paraId="1D9C7FE4" w14:textId="77777777" w:rsidR="00C022AA" w:rsidRPr="00497C13" w:rsidRDefault="00C022AA" w:rsidP="00EC10C5">
      <w:pPr>
        <w:pStyle w:val="Cmsor2"/>
        <w:ind w:firstLine="709"/>
        <w:rPr>
          <w:rFonts w:ascii="Times New Roman" w:hAnsi="Times New Roman" w:cs="Times New Roman"/>
          <w:b/>
          <w:sz w:val="24"/>
          <w:szCs w:val="24"/>
        </w:rPr>
      </w:pPr>
      <w:r w:rsidRPr="00497C13">
        <w:rPr>
          <w:rFonts w:ascii="Times New Roman" w:hAnsi="Times New Roman" w:cs="Times New Roman"/>
          <w:b/>
          <w:sz w:val="24"/>
          <w:szCs w:val="24"/>
        </w:rPr>
        <w:t>B.1. Általános jellemzők–típuskényszer</w:t>
      </w:r>
    </w:p>
    <w:p w14:paraId="17E31A42"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Az új Ptk.-ban a nemzetközi gyakorlatban szokatlanul nagyméretű </w:t>
      </w:r>
      <w:r w:rsidRPr="00055041">
        <w:rPr>
          <w:rFonts w:ascii="Times New Roman" w:eastAsia="Times New Roman" w:hAnsi="Times New Roman" w:cs="Times New Roman"/>
          <w:i/>
          <w:sz w:val="24"/>
          <w:szCs w:val="24"/>
          <w:lang w:eastAsia="hu-HU"/>
        </w:rPr>
        <w:t>általános rész</w:t>
      </w:r>
      <w:r w:rsidRPr="00055041">
        <w:rPr>
          <w:rFonts w:ascii="Times New Roman" w:eastAsia="Times New Roman" w:hAnsi="Times New Roman" w:cs="Times New Roman"/>
          <w:sz w:val="24"/>
          <w:szCs w:val="24"/>
          <w:lang w:eastAsia="hu-HU"/>
        </w:rPr>
        <w:t xml:space="preserve"> (közös szabályok) található. Különösen feltűnő ez azért, mert a magyar Ptk.-ban eddig a jog személyekre vonatkozó általános rész igen csekély volt. A változás abból adódik, hogy az új Ptk. a gazdasági társaságok jogából számos intézményt általános rendelkezésként átemelt a közös szabályok közé, akkor is, ha ezek az intézmények (pl. az átalakulás) a társasági jogon kívül a többi jogi személynél nem, vagy csak kivételesen, illetve kisebbségi megoldásként léteznek. Ebből az következik, hogy egyes rendelkezéseket a jogi személyek általános szabályai és a gazdasági társaságok közös szabályai egymással párhuzamosan tartalmaznak, </w:t>
      </w:r>
      <w:proofErr w:type="gramStart"/>
      <w:r w:rsidRPr="00055041">
        <w:rPr>
          <w:rFonts w:ascii="Times New Roman" w:eastAsia="Times New Roman" w:hAnsi="Times New Roman" w:cs="Times New Roman"/>
          <w:sz w:val="24"/>
          <w:szCs w:val="24"/>
          <w:lang w:eastAsia="hu-HU"/>
        </w:rPr>
        <w:t>illetve</w:t>
      </w:r>
      <w:proofErr w:type="gramEnd"/>
      <w:r w:rsidRPr="00055041">
        <w:rPr>
          <w:rFonts w:ascii="Times New Roman" w:eastAsia="Times New Roman" w:hAnsi="Times New Roman" w:cs="Times New Roman"/>
          <w:sz w:val="24"/>
          <w:szCs w:val="24"/>
          <w:lang w:eastAsia="hu-HU"/>
        </w:rPr>
        <w:t xml:space="preserve"> hogy egyes eddigi társasági szabályok átkerültek a jogi személyekre vonatkozó általános szabályok közé, így a jogalkalmazás során adott esetben közvetlenül a jogi személyek közös szabályaihoz kell visszanyúlni.</w:t>
      </w:r>
    </w:p>
    <w:p w14:paraId="7E7313F0"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Ptk. 3. könyv 1–2. §-a lényegében meghatározza </w:t>
      </w:r>
      <w:r w:rsidRPr="00055041">
        <w:rPr>
          <w:rFonts w:ascii="Times New Roman" w:eastAsia="Times New Roman" w:hAnsi="Times New Roman" w:cs="Times New Roman"/>
          <w:i/>
          <w:sz w:val="24"/>
          <w:szCs w:val="24"/>
          <w:lang w:eastAsia="hu-HU"/>
        </w:rPr>
        <w:t xml:space="preserve">a jogi </w:t>
      </w:r>
      <w:proofErr w:type="spellStart"/>
      <w:r w:rsidRPr="00055041">
        <w:rPr>
          <w:rFonts w:ascii="Times New Roman" w:eastAsia="Times New Roman" w:hAnsi="Times New Roman" w:cs="Times New Roman"/>
          <w:i/>
          <w:sz w:val="24"/>
          <w:szCs w:val="24"/>
          <w:lang w:eastAsia="hu-HU"/>
        </w:rPr>
        <w:t>személység</w:t>
      </w:r>
      <w:proofErr w:type="spellEnd"/>
      <w:r w:rsidRPr="00055041">
        <w:rPr>
          <w:rFonts w:ascii="Times New Roman" w:eastAsia="Times New Roman" w:hAnsi="Times New Roman" w:cs="Times New Roman"/>
          <w:i/>
          <w:sz w:val="24"/>
          <w:szCs w:val="24"/>
          <w:lang w:eastAsia="hu-HU"/>
        </w:rPr>
        <w:t xml:space="preserve"> kritériumait (Ptk. 3:1-3:2 §)</w:t>
      </w:r>
      <w:r w:rsidRPr="00055041">
        <w:rPr>
          <w:rFonts w:ascii="Times New Roman" w:eastAsia="Times New Roman" w:hAnsi="Times New Roman" w:cs="Times New Roman"/>
          <w:sz w:val="24"/>
          <w:szCs w:val="24"/>
          <w:lang w:eastAsia="hu-HU"/>
        </w:rPr>
        <w:t xml:space="preserve">. A jogi személynek </w:t>
      </w:r>
      <w:r w:rsidRPr="00055041">
        <w:rPr>
          <w:rFonts w:ascii="Times New Roman" w:eastAsia="Times New Roman" w:hAnsi="Times New Roman" w:cs="Times New Roman"/>
          <w:i/>
          <w:sz w:val="24"/>
          <w:szCs w:val="24"/>
          <w:lang w:eastAsia="hu-HU"/>
        </w:rPr>
        <w:t>a) saját névvel, b) székhellyel, c) elkülönült vagyonnal, d) önálló vagyoni felelősséggel, e) ügyvezetését és képviseletét ellátó szervezettel</w:t>
      </w:r>
      <w:r w:rsidRPr="00055041">
        <w:rPr>
          <w:rFonts w:ascii="Times New Roman" w:eastAsia="Times New Roman" w:hAnsi="Times New Roman" w:cs="Times New Roman"/>
          <w:sz w:val="24"/>
          <w:szCs w:val="24"/>
          <w:lang w:eastAsia="hu-HU"/>
        </w:rPr>
        <w:t xml:space="preserve"> kell rendelkeznie. A jogi személy </w:t>
      </w:r>
      <w:r w:rsidRPr="00055041">
        <w:rPr>
          <w:rFonts w:ascii="Times New Roman" w:eastAsia="Times New Roman" w:hAnsi="Times New Roman" w:cs="Times New Roman"/>
          <w:i/>
          <w:sz w:val="24"/>
          <w:szCs w:val="24"/>
          <w:lang w:eastAsia="hu-HU"/>
        </w:rPr>
        <w:t>abszolút jogképes</w:t>
      </w:r>
      <w:r w:rsidRPr="00055041">
        <w:rPr>
          <w:rFonts w:ascii="Times New Roman" w:eastAsia="Times New Roman" w:hAnsi="Times New Roman" w:cs="Times New Roman"/>
          <w:sz w:val="24"/>
          <w:szCs w:val="24"/>
          <w:lang w:eastAsia="hu-HU"/>
        </w:rPr>
        <w:t xml:space="preserve">, jogképessége kiterjed minden olyan jogra és kötelezettségre, amely „jellegénél fogva” nem csupán az emberhez fűződik. E körben a jogi személyt is személyiségi jogvédelem illet meg a Ptk. </w:t>
      </w:r>
      <w:r w:rsidRPr="00055041">
        <w:rPr>
          <w:rFonts w:ascii="Times New Roman" w:eastAsia="Times New Roman" w:hAnsi="Times New Roman" w:cs="Times New Roman"/>
          <w:i/>
          <w:sz w:val="24"/>
          <w:szCs w:val="24"/>
          <w:lang w:eastAsia="hu-HU"/>
        </w:rPr>
        <w:t>2. könyv személyiségvédelmi jogi</w:t>
      </w:r>
      <w:r w:rsidRPr="00055041">
        <w:rPr>
          <w:rFonts w:ascii="Times New Roman" w:eastAsia="Times New Roman" w:hAnsi="Times New Roman" w:cs="Times New Roman"/>
          <w:sz w:val="24"/>
          <w:szCs w:val="24"/>
          <w:lang w:eastAsia="hu-HU"/>
        </w:rPr>
        <w:t xml:space="preserve"> szabályai szerint (pl. a jogi személynek is van jó hírneve, amit a törvény véd – goodwill, image). </w:t>
      </w:r>
    </w:p>
    <w:p w14:paraId="1FD0E6B6"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Jogi személy csak törvény által nem tiltott </w:t>
      </w:r>
      <w:r w:rsidRPr="00055041">
        <w:rPr>
          <w:rFonts w:ascii="Times New Roman" w:eastAsia="Times New Roman" w:hAnsi="Times New Roman" w:cs="Times New Roman"/>
          <w:i/>
          <w:sz w:val="24"/>
          <w:szCs w:val="24"/>
          <w:lang w:eastAsia="hu-HU"/>
        </w:rPr>
        <w:t>tevékenység</w:t>
      </w:r>
      <w:r w:rsidRPr="00055041">
        <w:rPr>
          <w:rFonts w:ascii="Times New Roman" w:eastAsia="Times New Roman" w:hAnsi="Times New Roman" w:cs="Times New Roman"/>
          <w:sz w:val="24"/>
          <w:szCs w:val="24"/>
          <w:lang w:eastAsia="hu-HU"/>
        </w:rPr>
        <w:t xml:space="preserve"> folytatására, törvényes (és ezen belül erkölcsös) célra alapítható, illetve működtethető.</w:t>
      </w:r>
    </w:p>
    <w:p w14:paraId="2C2F85CC" w14:textId="77777777" w:rsidR="00C022AA"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Ptk. a jogi személyek körében </w:t>
      </w:r>
      <w:r w:rsidRPr="00055041">
        <w:rPr>
          <w:rFonts w:ascii="Times New Roman" w:eastAsia="Times New Roman" w:hAnsi="Times New Roman" w:cs="Times New Roman"/>
          <w:i/>
          <w:sz w:val="24"/>
          <w:szCs w:val="24"/>
          <w:lang w:eastAsia="hu-HU"/>
        </w:rPr>
        <w:t>típuskényszerből</w:t>
      </w:r>
      <w:r w:rsidRPr="00055041">
        <w:rPr>
          <w:rFonts w:ascii="Times New Roman" w:eastAsia="Times New Roman" w:hAnsi="Times New Roman" w:cs="Times New Roman"/>
          <w:sz w:val="24"/>
          <w:szCs w:val="24"/>
          <w:lang w:eastAsia="hu-HU"/>
        </w:rPr>
        <w:t xml:space="preserve"> indul ki, kimondja, hogy jogi személy törvényben meghatározott típusban alapítható. Az </w:t>
      </w:r>
      <w:r w:rsidRPr="00055041">
        <w:rPr>
          <w:rFonts w:ascii="Times New Roman" w:eastAsia="Times New Roman" w:hAnsi="Times New Roman" w:cs="Times New Roman"/>
          <w:i/>
          <w:sz w:val="24"/>
          <w:szCs w:val="24"/>
          <w:lang w:eastAsia="hu-HU"/>
        </w:rPr>
        <w:t>alapvető jogi személy típusok</w:t>
      </w:r>
      <w:r w:rsidRPr="00055041">
        <w:rPr>
          <w:rFonts w:ascii="Times New Roman" w:eastAsia="Times New Roman" w:hAnsi="Times New Roman" w:cs="Times New Roman"/>
          <w:sz w:val="24"/>
          <w:szCs w:val="24"/>
          <w:lang w:eastAsia="hu-HU"/>
        </w:rPr>
        <w:t xml:space="preserve"> magában a Ptk.-ban kerültek szabályozásra: </w:t>
      </w:r>
      <w:r w:rsidRPr="00055041">
        <w:rPr>
          <w:rFonts w:ascii="Times New Roman" w:eastAsia="Times New Roman" w:hAnsi="Times New Roman" w:cs="Times New Roman"/>
          <w:i/>
          <w:sz w:val="24"/>
          <w:szCs w:val="24"/>
          <w:lang w:eastAsia="hu-HU"/>
        </w:rPr>
        <w:t>egyesület</w:t>
      </w:r>
      <w:r w:rsidRPr="00055041">
        <w:rPr>
          <w:rFonts w:ascii="Times New Roman" w:eastAsia="Times New Roman" w:hAnsi="Times New Roman" w:cs="Times New Roman"/>
          <w:sz w:val="24"/>
          <w:szCs w:val="24"/>
          <w:lang w:eastAsia="hu-HU"/>
        </w:rPr>
        <w:t xml:space="preserve">, gazdasági </w:t>
      </w:r>
      <w:r w:rsidRPr="00055041">
        <w:rPr>
          <w:rFonts w:ascii="Times New Roman" w:eastAsia="Times New Roman" w:hAnsi="Times New Roman" w:cs="Times New Roman"/>
          <w:i/>
          <w:sz w:val="24"/>
          <w:szCs w:val="24"/>
          <w:lang w:eastAsia="hu-HU"/>
        </w:rPr>
        <w:t>társaságok</w:t>
      </w:r>
      <w:r w:rsidRPr="00055041">
        <w:rPr>
          <w:rFonts w:ascii="Times New Roman" w:eastAsia="Times New Roman" w:hAnsi="Times New Roman" w:cs="Times New Roman"/>
          <w:sz w:val="24"/>
          <w:szCs w:val="24"/>
          <w:lang w:eastAsia="hu-HU"/>
        </w:rPr>
        <w:t xml:space="preserve">, </w:t>
      </w:r>
      <w:r w:rsidRPr="00055041">
        <w:rPr>
          <w:rFonts w:ascii="Times New Roman" w:eastAsia="Times New Roman" w:hAnsi="Times New Roman" w:cs="Times New Roman"/>
          <w:i/>
          <w:sz w:val="24"/>
          <w:szCs w:val="24"/>
          <w:lang w:eastAsia="hu-HU"/>
        </w:rPr>
        <w:t>egyesülés</w:t>
      </w:r>
      <w:r w:rsidRPr="00055041">
        <w:rPr>
          <w:rFonts w:ascii="Times New Roman" w:eastAsia="Times New Roman" w:hAnsi="Times New Roman" w:cs="Times New Roman"/>
          <w:sz w:val="24"/>
          <w:szCs w:val="24"/>
          <w:lang w:eastAsia="hu-HU"/>
        </w:rPr>
        <w:t xml:space="preserve">, </w:t>
      </w:r>
      <w:r w:rsidRPr="00055041">
        <w:rPr>
          <w:rFonts w:ascii="Times New Roman" w:eastAsia="Times New Roman" w:hAnsi="Times New Roman" w:cs="Times New Roman"/>
          <w:i/>
          <w:sz w:val="24"/>
          <w:szCs w:val="24"/>
          <w:lang w:eastAsia="hu-HU"/>
        </w:rPr>
        <w:t>szövetkezet</w:t>
      </w:r>
      <w:r w:rsidRPr="00055041">
        <w:rPr>
          <w:rFonts w:ascii="Times New Roman" w:eastAsia="Times New Roman" w:hAnsi="Times New Roman" w:cs="Times New Roman"/>
          <w:sz w:val="24"/>
          <w:szCs w:val="24"/>
          <w:lang w:eastAsia="hu-HU"/>
        </w:rPr>
        <w:t xml:space="preserve">, </w:t>
      </w:r>
      <w:r w:rsidRPr="00055041">
        <w:rPr>
          <w:rFonts w:ascii="Times New Roman" w:eastAsia="Times New Roman" w:hAnsi="Times New Roman" w:cs="Times New Roman"/>
          <w:i/>
          <w:sz w:val="24"/>
          <w:szCs w:val="24"/>
          <w:lang w:eastAsia="hu-HU"/>
        </w:rPr>
        <w:t>alapítvány</w:t>
      </w:r>
      <w:r w:rsidRPr="00055041">
        <w:rPr>
          <w:rFonts w:ascii="Times New Roman" w:eastAsia="Times New Roman" w:hAnsi="Times New Roman" w:cs="Times New Roman"/>
          <w:sz w:val="24"/>
          <w:szCs w:val="24"/>
          <w:lang w:eastAsia="hu-HU"/>
        </w:rPr>
        <w:t>. Törvény azonban a Ptk.-n kívül is meghatározhat jogi személy típust, ilyen például az államháztartási törvényben szabályozott költségvetési szerv.</w:t>
      </w:r>
    </w:p>
    <w:p w14:paraId="362CA6FF" w14:textId="77777777" w:rsidR="00497C13" w:rsidRDefault="00497C13" w:rsidP="00EC10C5">
      <w:pPr>
        <w:spacing w:after="60" w:line="240" w:lineRule="auto"/>
        <w:ind w:firstLine="709"/>
        <w:jc w:val="both"/>
        <w:rPr>
          <w:rFonts w:ascii="Times New Roman" w:eastAsia="Times New Roman" w:hAnsi="Times New Roman" w:cs="Times New Roman"/>
          <w:sz w:val="24"/>
          <w:szCs w:val="24"/>
          <w:lang w:eastAsia="hu-HU"/>
        </w:rPr>
      </w:pPr>
    </w:p>
    <w:p w14:paraId="6A0F4DD7" w14:textId="77777777" w:rsidR="00C022AA" w:rsidRPr="00497C13" w:rsidRDefault="00C022AA" w:rsidP="00EC10C5">
      <w:pPr>
        <w:pStyle w:val="Cmsor2"/>
        <w:ind w:firstLine="709"/>
        <w:rPr>
          <w:rFonts w:ascii="Times New Roman" w:hAnsi="Times New Roman" w:cs="Times New Roman"/>
          <w:b/>
          <w:sz w:val="24"/>
          <w:szCs w:val="24"/>
        </w:rPr>
      </w:pPr>
      <w:r w:rsidRPr="00497C13">
        <w:rPr>
          <w:rFonts w:ascii="Times New Roman" w:hAnsi="Times New Roman" w:cs="Times New Roman"/>
          <w:b/>
          <w:sz w:val="24"/>
          <w:szCs w:val="24"/>
        </w:rPr>
        <w:t>B.2. A törvénytől való eltérés általános lehetősége</w:t>
      </w:r>
    </w:p>
    <w:p w14:paraId="682A1CB3"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Az új Ptk. alapvető újdonsága a nemzetközi viszonylatban is egyedülálló megoldása a </w:t>
      </w:r>
      <w:r w:rsidRPr="00055041">
        <w:rPr>
          <w:rFonts w:ascii="Times New Roman" w:eastAsia="Times New Roman" w:hAnsi="Times New Roman" w:cs="Times New Roman"/>
          <w:i/>
          <w:sz w:val="24"/>
          <w:szCs w:val="24"/>
          <w:lang w:eastAsia="hu-HU"/>
        </w:rPr>
        <w:t>létesítés szabadságával</w:t>
      </w:r>
      <w:r w:rsidRPr="00055041">
        <w:rPr>
          <w:rFonts w:ascii="Times New Roman" w:eastAsia="Times New Roman" w:hAnsi="Times New Roman" w:cs="Times New Roman"/>
          <w:sz w:val="24"/>
          <w:szCs w:val="24"/>
          <w:lang w:eastAsia="hu-HU"/>
        </w:rPr>
        <w:t xml:space="preserve"> kapcsolatos 3:4. §.</w:t>
      </w:r>
    </w:p>
    <w:p w14:paraId="329BF8F0" w14:textId="77777777" w:rsidR="00C022AA" w:rsidRPr="00055041" w:rsidRDefault="00C022AA" w:rsidP="00EC10C5">
      <w:pPr>
        <w:pStyle w:val="Stlus1"/>
        <w:rPr>
          <w:rFonts w:eastAsia="Times New Roman"/>
          <w:lang w:eastAsia="hu-HU"/>
        </w:rPr>
      </w:pPr>
      <w:r w:rsidRPr="00055041">
        <w:t xml:space="preserve">A jogi személyek szabályozásának diszpozitivitása – a Ptk. 3:4 § és annak tilalmi tesztje </w:t>
      </w:r>
      <w:r w:rsidRPr="00055041">
        <w:rPr>
          <w:rFonts w:eastAsia="Times New Roman"/>
          <w:lang w:eastAsia="hu-HU"/>
        </w:rPr>
        <w:tab/>
      </w:r>
    </w:p>
    <w:p w14:paraId="24A9D6F9"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3:4. § (1) bekezdése szerint a jogi személy létrehozásáról a természetes, illetve jogi személyek a létesítő okiratban szabadon rendelkezhetnek, a jogi személy szervezetét is működési szabályait maguk állapíthatják meg. A magánautonómia általános deklarálása után a </w:t>
      </w:r>
      <w:r w:rsidRPr="00055041">
        <w:rPr>
          <w:rFonts w:ascii="Times New Roman" w:eastAsia="Times New Roman" w:hAnsi="Times New Roman" w:cs="Times New Roman"/>
          <w:sz w:val="24"/>
          <w:szCs w:val="24"/>
          <w:lang w:eastAsia="hu-HU"/>
        </w:rPr>
        <w:lastRenderedPageBreak/>
        <w:t xml:space="preserve">(2) bekezdés kimondja, hogy a jogi személy alapítói a </w:t>
      </w:r>
      <w:r w:rsidRPr="00055041">
        <w:rPr>
          <w:rFonts w:ascii="Times New Roman" w:eastAsia="Times New Roman" w:hAnsi="Times New Roman" w:cs="Times New Roman"/>
          <w:i/>
          <w:sz w:val="24"/>
          <w:szCs w:val="24"/>
          <w:lang w:eastAsia="hu-HU"/>
        </w:rPr>
        <w:t>létesítő okiratban</w:t>
      </w:r>
      <w:r w:rsidRPr="00055041">
        <w:rPr>
          <w:rFonts w:ascii="Times New Roman" w:eastAsia="Times New Roman" w:hAnsi="Times New Roman" w:cs="Times New Roman"/>
          <w:sz w:val="24"/>
          <w:szCs w:val="24"/>
          <w:lang w:eastAsia="hu-HU"/>
        </w:rPr>
        <w:t xml:space="preserve"> a) az egymás közti, és b) a jogi személyhez fűződő viszonyuk, valamint c) a jogi személy szervezetének és működésének szabályozásánál </w:t>
      </w:r>
      <w:r w:rsidRPr="00055041">
        <w:rPr>
          <w:rFonts w:ascii="Times New Roman" w:eastAsia="Times New Roman" w:hAnsi="Times New Roman" w:cs="Times New Roman"/>
          <w:i/>
          <w:sz w:val="24"/>
          <w:szCs w:val="24"/>
          <w:lang w:eastAsia="hu-HU"/>
        </w:rPr>
        <w:t>általános jelleggel eltérhetnek a Ptk. jogi személyekre vonatkozó szabályaitól</w:t>
      </w:r>
      <w:r w:rsidRPr="00055041">
        <w:rPr>
          <w:rFonts w:ascii="Times New Roman" w:eastAsia="Times New Roman" w:hAnsi="Times New Roman" w:cs="Times New Roman"/>
          <w:sz w:val="24"/>
          <w:szCs w:val="24"/>
          <w:lang w:eastAsia="hu-HU"/>
        </w:rPr>
        <w:t xml:space="preserve">. E főszabály alóli </w:t>
      </w:r>
      <w:r w:rsidRPr="00055041">
        <w:rPr>
          <w:rFonts w:ascii="Times New Roman" w:eastAsia="Times New Roman" w:hAnsi="Times New Roman" w:cs="Times New Roman"/>
          <w:i/>
          <w:sz w:val="24"/>
          <w:szCs w:val="24"/>
          <w:lang w:eastAsia="hu-HU"/>
        </w:rPr>
        <w:t>kivételeket</w:t>
      </w:r>
      <w:r w:rsidRPr="00055041">
        <w:rPr>
          <w:rFonts w:ascii="Times New Roman" w:eastAsia="Times New Roman" w:hAnsi="Times New Roman" w:cs="Times New Roman"/>
          <w:sz w:val="24"/>
          <w:szCs w:val="24"/>
          <w:lang w:eastAsia="hu-HU"/>
        </w:rPr>
        <w:t xml:space="preserve"> a (3) bekezdés határozza meg (ezt nevezi a jogirodalom gyakran a 3:4 § „</w:t>
      </w:r>
      <w:r w:rsidRPr="00055041">
        <w:rPr>
          <w:rFonts w:ascii="Times New Roman" w:eastAsia="Times New Roman" w:hAnsi="Times New Roman" w:cs="Times New Roman"/>
          <w:i/>
          <w:sz w:val="24"/>
          <w:szCs w:val="24"/>
          <w:lang w:eastAsia="hu-HU"/>
        </w:rPr>
        <w:t xml:space="preserve">tilalmi </w:t>
      </w:r>
      <w:proofErr w:type="spellStart"/>
      <w:proofErr w:type="gramStart"/>
      <w:r w:rsidRPr="00055041">
        <w:rPr>
          <w:rFonts w:ascii="Times New Roman" w:eastAsia="Times New Roman" w:hAnsi="Times New Roman" w:cs="Times New Roman"/>
          <w:i/>
          <w:sz w:val="24"/>
          <w:szCs w:val="24"/>
          <w:lang w:eastAsia="hu-HU"/>
        </w:rPr>
        <w:t>tesztjé</w:t>
      </w:r>
      <w:proofErr w:type="spellEnd"/>
      <w:r w:rsidRPr="00055041">
        <w:rPr>
          <w:rFonts w:ascii="Times New Roman" w:eastAsia="Times New Roman" w:hAnsi="Times New Roman" w:cs="Times New Roman"/>
          <w:sz w:val="24"/>
          <w:szCs w:val="24"/>
          <w:lang w:eastAsia="hu-HU"/>
        </w:rPr>
        <w:t>”-</w:t>
      </w:r>
      <w:proofErr w:type="spellStart"/>
      <w:proofErr w:type="gramEnd"/>
      <w:r w:rsidRPr="00055041">
        <w:rPr>
          <w:rFonts w:ascii="Times New Roman" w:eastAsia="Times New Roman" w:hAnsi="Times New Roman" w:cs="Times New Roman"/>
          <w:sz w:val="24"/>
          <w:szCs w:val="24"/>
          <w:lang w:eastAsia="hu-HU"/>
        </w:rPr>
        <w:t>nek</w:t>
      </w:r>
      <w:proofErr w:type="spellEnd"/>
      <w:r w:rsidRPr="00055041">
        <w:rPr>
          <w:rFonts w:ascii="Times New Roman" w:eastAsia="Times New Roman" w:hAnsi="Times New Roman" w:cs="Times New Roman"/>
          <w:sz w:val="24"/>
          <w:szCs w:val="24"/>
          <w:lang w:eastAsia="hu-HU"/>
        </w:rPr>
        <w:t>). Nevezetesen semmis az eltérés, ha:</w:t>
      </w:r>
    </w:p>
    <w:p w14:paraId="22A8C262" w14:textId="77777777" w:rsidR="00C022AA" w:rsidRPr="00055041" w:rsidRDefault="00C022AA" w:rsidP="00EC10C5">
      <w:pPr>
        <w:pStyle w:val="Stlus2"/>
        <w:rPr>
          <w:rFonts w:eastAsia="Times New Roman"/>
          <w:lang w:eastAsia="hu-HU"/>
        </w:rPr>
      </w:pPr>
      <w:r w:rsidRPr="00055041">
        <w:rPr>
          <w:rFonts w:eastAsia="Times New Roman"/>
          <w:lang w:eastAsia="hu-HU"/>
        </w:rPr>
        <w:t>az eltérő törvény tiltja (a Ptk. szöveg „e” törvényt mond, de nyilván ilyen eltérést bármely törvény megállapíthat),</w:t>
      </w:r>
    </w:p>
    <w:p w14:paraId="3F35FEB8" w14:textId="77777777" w:rsidR="00C022AA" w:rsidRPr="00055041" w:rsidRDefault="00C022AA" w:rsidP="00EC10C5">
      <w:pPr>
        <w:pStyle w:val="Stlus2"/>
        <w:rPr>
          <w:rFonts w:eastAsia="Times New Roman"/>
          <w:lang w:eastAsia="hu-HU"/>
        </w:rPr>
      </w:pPr>
      <w:r w:rsidRPr="00055041">
        <w:rPr>
          <w:rFonts w:eastAsia="Times New Roman"/>
          <w:lang w:eastAsia="hu-HU"/>
        </w:rPr>
        <w:t>az eltérés „nyilvánvalóan” sérti a jogi személy hitelezőinek jogait,</w:t>
      </w:r>
    </w:p>
    <w:p w14:paraId="1579BFE0" w14:textId="77777777" w:rsidR="00C022AA" w:rsidRPr="00055041" w:rsidRDefault="00C022AA" w:rsidP="00EC10C5">
      <w:pPr>
        <w:pStyle w:val="Stlus2"/>
        <w:rPr>
          <w:rFonts w:eastAsia="Times New Roman"/>
          <w:lang w:eastAsia="hu-HU"/>
        </w:rPr>
      </w:pPr>
      <w:r w:rsidRPr="00055041">
        <w:rPr>
          <w:rFonts w:eastAsia="Times New Roman"/>
          <w:lang w:eastAsia="hu-HU"/>
        </w:rPr>
        <w:t>az eltérés „nyilvánvalóan” sérti a jogi személy munkavállalóinak jogait,</w:t>
      </w:r>
    </w:p>
    <w:p w14:paraId="7AC29E7B" w14:textId="77777777" w:rsidR="00C022AA" w:rsidRPr="00055041" w:rsidRDefault="00C022AA" w:rsidP="00EC10C5">
      <w:pPr>
        <w:pStyle w:val="Stlus2"/>
        <w:rPr>
          <w:rFonts w:eastAsia="Times New Roman"/>
          <w:lang w:eastAsia="hu-HU"/>
        </w:rPr>
      </w:pPr>
      <w:r w:rsidRPr="00055041">
        <w:rPr>
          <w:rFonts w:eastAsia="Times New Roman"/>
          <w:lang w:eastAsia="hu-HU"/>
        </w:rPr>
        <w:t>az eltérés a tagok kisebbségének jogszabályban biztosított jogait „nyilvánvalóan” sérti, végül</w:t>
      </w:r>
    </w:p>
    <w:p w14:paraId="1746D809" w14:textId="77777777" w:rsidR="00C022AA" w:rsidRPr="00055041" w:rsidRDefault="00C022AA" w:rsidP="00EC10C5">
      <w:pPr>
        <w:pStyle w:val="Stlus2"/>
        <w:rPr>
          <w:rFonts w:eastAsia="Times New Roman"/>
          <w:lang w:eastAsia="hu-HU"/>
        </w:rPr>
      </w:pPr>
      <w:r w:rsidRPr="00055041">
        <w:rPr>
          <w:rFonts w:eastAsia="Times New Roman"/>
          <w:lang w:eastAsia="hu-HU"/>
        </w:rPr>
        <w:t>a jogi személyek törvényes működése feletti felügyelet érvényesülését akadályozza (a törvényszöveg szerintem helytelenül, nem az állami törvényességi felügyeletről beszél, csak felügyeletről, amelybe kiterjesztő értelmezéssel más állami felügyeletek, sőt esetleg a jogi személyen belüli felügyelőbizottsági és a könyvvizsgáló tevékenysége is beleérthető).</w:t>
      </w:r>
    </w:p>
    <w:p w14:paraId="13DA94C8"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jogalkalmazás szempontjából viszonylag egyszerű a tilalmi teszt a) pontjában meghatározott kivétel alkalmazása, amikor a Ptk. – az adott rendelkezésnél - kifejezetten megtiltja és érvénytelenséggel (semmisség) szankcionálja az eltérést. Sokkal nehezebb az előzőekben, a tilalmi teszt </w:t>
      </w:r>
      <w:proofErr w:type="gramStart"/>
      <w:r w:rsidRPr="00055041">
        <w:rPr>
          <w:rFonts w:ascii="Times New Roman" w:eastAsia="Times New Roman" w:hAnsi="Times New Roman" w:cs="Times New Roman"/>
          <w:sz w:val="24"/>
          <w:szCs w:val="24"/>
          <w:lang w:eastAsia="hu-HU"/>
        </w:rPr>
        <w:t>b)–</w:t>
      </w:r>
      <w:proofErr w:type="gramEnd"/>
      <w:r w:rsidRPr="00055041">
        <w:rPr>
          <w:rFonts w:ascii="Times New Roman" w:eastAsia="Times New Roman" w:hAnsi="Times New Roman" w:cs="Times New Roman"/>
          <w:sz w:val="24"/>
          <w:szCs w:val="24"/>
          <w:lang w:eastAsia="hu-HU"/>
        </w:rPr>
        <w:t>c) pontokban felsorolt rendelkezéseinek (az itt rögzített kaucsuk fogalmak) gyakorlati alkalmazása. Azt ugyanis, hogy egy szabály a jövőben sérteni fogja-e a hitelezői, a munkavállalói, avagy a kisebbségi érdekeket, a jogi személy létrehozásakor nagyon nehezen és csak meglehetősen szubjektíven ítélhető meg.</w:t>
      </w:r>
    </w:p>
    <w:p w14:paraId="438A8962" w14:textId="77777777" w:rsidR="00C022AA" w:rsidRPr="00055041" w:rsidRDefault="00C022AA" w:rsidP="00EC10C5">
      <w:pPr>
        <w:spacing w:after="60" w:line="240" w:lineRule="auto"/>
        <w:ind w:firstLine="709"/>
        <w:rPr>
          <w:rFonts w:ascii="Times New Roman" w:hAnsi="Times New Roman" w:cs="Times New Roman"/>
          <w:sz w:val="24"/>
          <w:szCs w:val="24"/>
        </w:rPr>
      </w:pPr>
      <w:r w:rsidRPr="00055041">
        <w:rPr>
          <w:rFonts w:ascii="Times New Roman" w:eastAsia="Times New Roman" w:hAnsi="Times New Roman" w:cs="Times New Roman"/>
          <w:sz w:val="24"/>
          <w:szCs w:val="24"/>
          <w:lang w:eastAsia="hu-HU"/>
        </w:rPr>
        <w:t xml:space="preserve">A 3:4. § következtében minden olyan esetben, ahol a Ptk. </w:t>
      </w:r>
      <w:proofErr w:type="spellStart"/>
      <w:r w:rsidRPr="00055041">
        <w:rPr>
          <w:rFonts w:ascii="Times New Roman" w:eastAsia="Times New Roman" w:hAnsi="Times New Roman" w:cs="Times New Roman"/>
          <w:sz w:val="24"/>
          <w:szCs w:val="24"/>
          <w:lang w:eastAsia="hu-HU"/>
        </w:rPr>
        <w:t>nyelvtanilag</w:t>
      </w:r>
      <w:proofErr w:type="spellEnd"/>
      <w:r w:rsidRPr="00055041">
        <w:rPr>
          <w:rFonts w:ascii="Times New Roman" w:eastAsia="Times New Roman" w:hAnsi="Times New Roman" w:cs="Times New Roman"/>
          <w:sz w:val="24"/>
          <w:szCs w:val="24"/>
          <w:lang w:eastAsia="hu-HU"/>
        </w:rPr>
        <w:t xml:space="preserve"> kötelező módon van ugyan megfogalmazva, de nincs kifejezetten eltérést tiltó rendelkezés, elvileg mód van a létesítő okiratban a szabálytól való eltérésre. Így a jogalkalmazónak szinte mindig vizsgálnia kell, hogy az eltérés nem ütközik-e az adott jogi személy típus jogi lényegébe, illetve az eltérés nem sérti-e jelentősen a hitelezők, a munkavállalók, a kisebbség érdekeit, avagy a felügyelet érvényesülését. Ebben a kérdésben döntő szerepet fog kapni a bírói jogalkalmazás, emellett a cégeljárási törvény is megállapít kötelező szabályokat. </w:t>
      </w:r>
      <w:proofErr w:type="spellStart"/>
      <w:r w:rsidRPr="00055041">
        <w:rPr>
          <w:rFonts w:ascii="Times New Roman" w:eastAsia="Times New Roman" w:hAnsi="Times New Roman" w:cs="Times New Roman"/>
          <w:sz w:val="24"/>
          <w:szCs w:val="24"/>
          <w:lang w:eastAsia="hu-HU"/>
        </w:rPr>
        <w:t>Mindenestre</w:t>
      </w:r>
      <w:proofErr w:type="spellEnd"/>
      <w:r w:rsidRPr="00055041">
        <w:rPr>
          <w:rFonts w:ascii="Times New Roman" w:eastAsia="Times New Roman" w:hAnsi="Times New Roman" w:cs="Times New Roman"/>
          <w:sz w:val="24"/>
          <w:szCs w:val="24"/>
          <w:lang w:eastAsia="hu-HU"/>
        </w:rPr>
        <w:t xml:space="preserve"> szerintem nem megalapozatlan az a feltevés, hogy – főleg a bevezetés utáni időszakban – meglehetős jogbizonytalansággal, eltérő bírósági döntésekkel fogunk találkozni.</w:t>
      </w:r>
    </w:p>
    <w:p w14:paraId="34C54E71" w14:textId="77777777" w:rsidR="00C022AA" w:rsidRPr="00497C13" w:rsidRDefault="00C022AA" w:rsidP="00EC10C5">
      <w:pPr>
        <w:pStyle w:val="Cmsor2"/>
        <w:ind w:firstLine="709"/>
        <w:rPr>
          <w:rFonts w:ascii="Times New Roman" w:eastAsia="Times New Roman" w:hAnsi="Times New Roman" w:cs="Times New Roman"/>
          <w:b/>
          <w:sz w:val="24"/>
          <w:szCs w:val="24"/>
          <w:lang w:eastAsia="hu-HU"/>
        </w:rPr>
      </w:pPr>
      <w:r w:rsidRPr="00497C13">
        <w:rPr>
          <w:rFonts w:ascii="Times New Roman" w:eastAsia="Times New Roman" w:hAnsi="Times New Roman" w:cs="Times New Roman"/>
          <w:b/>
          <w:sz w:val="24"/>
          <w:szCs w:val="24"/>
          <w:lang w:eastAsia="hu-HU"/>
        </w:rPr>
        <w:t>B.3. A jogi személyek nyilvántartásba vétele</w:t>
      </w:r>
    </w:p>
    <w:p w14:paraId="105F16BA"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i/>
          <w:sz w:val="24"/>
          <w:szCs w:val="24"/>
          <w:lang w:eastAsia="hu-HU"/>
        </w:rPr>
        <w:t>A magyar jogban minden jogi személy állami nyilvántartásba vétellel jön létre</w:t>
      </w:r>
      <w:r w:rsidRPr="00055041">
        <w:rPr>
          <w:rFonts w:ascii="Times New Roman" w:eastAsia="Times New Roman" w:hAnsi="Times New Roman" w:cs="Times New Roman"/>
          <w:sz w:val="24"/>
          <w:szCs w:val="24"/>
          <w:lang w:eastAsia="hu-HU"/>
        </w:rPr>
        <w:t xml:space="preserve">. Az alapítás első fázisa társasági szerződés megkötése, illetve alapszabály vagy alapító okirat elfogadása. Jogi személy tehát csak írásban, törvényi előírásoknak megfelelő okirattal (pl. gazdasági társaságoknál ügyvédi ellenjegyzés vagy közjegyzői okiratba foglalás) jöhet létre, szóbeli alapítás nem lehetséges. Ezeket a dokumentumokat nevezi a Ptk. </w:t>
      </w:r>
      <w:r w:rsidRPr="00055041">
        <w:rPr>
          <w:rFonts w:ascii="Times New Roman" w:eastAsia="Times New Roman" w:hAnsi="Times New Roman" w:cs="Times New Roman"/>
          <w:i/>
          <w:sz w:val="24"/>
          <w:szCs w:val="24"/>
          <w:lang w:eastAsia="hu-HU"/>
        </w:rPr>
        <w:t>létesítő okiratnak</w:t>
      </w:r>
      <w:r w:rsidRPr="00055041">
        <w:rPr>
          <w:rFonts w:ascii="Times New Roman" w:eastAsia="Times New Roman" w:hAnsi="Times New Roman" w:cs="Times New Roman"/>
          <w:sz w:val="24"/>
          <w:szCs w:val="24"/>
          <w:lang w:eastAsia="hu-HU"/>
        </w:rPr>
        <w:t xml:space="preserve"> és a 3. Könyv 5. §-</w:t>
      </w:r>
      <w:proofErr w:type="spellStart"/>
      <w:r w:rsidRPr="00055041">
        <w:rPr>
          <w:rFonts w:ascii="Times New Roman" w:eastAsia="Times New Roman" w:hAnsi="Times New Roman" w:cs="Times New Roman"/>
          <w:sz w:val="24"/>
          <w:szCs w:val="24"/>
          <w:lang w:eastAsia="hu-HU"/>
        </w:rPr>
        <w:t>ában</w:t>
      </w:r>
      <w:proofErr w:type="spellEnd"/>
      <w:r w:rsidRPr="00055041">
        <w:rPr>
          <w:rFonts w:ascii="Times New Roman" w:eastAsia="Times New Roman" w:hAnsi="Times New Roman" w:cs="Times New Roman"/>
          <w:sz w:val="24"/>
          <w:szCs w:val="24"/>
          <w:lang w:eastAsia="hu-HU"/>
        </w:rPr>
        <w:t xml:space="preserve"> (3:5 §) meghatározza közös kötelező tartalmát. Ez azonban nem elég a jogi </w:t>
      </w:r>
      <w:proofErr w:type="spellStart"/>
      <w:r w:rsidRPr="00055041">
        <w:rPr>
          <w:rFonts w:ascii="Times New Roman" w:eastAsia="Times New Roman" w:hAnsi="Times New Roman" w:cs="Times New Roman"/>
          <w:sz w:val="24"/>
          <w:szCs w:val="24"/>
          <w:lang w:eastAsia="hu-HU"/>
        </w:rPr>
        <w:t>személységhez</w:t>
      </w:r>
      <w:proofErr w:type="spellEnd"/>
      <w:r w:rsidRPr="00055041">
        <w:rPr>
          <w:rFonts w:ascii="Times New Roman" w:eastAsia="Times New Roman" w:hAnsi="Times New Roman" w:cs="Times New Roman"/>
          <w:sz w:val="24"/>
          <w:szCs w:val="24"/>
          <w:lang w:eastAsia="hu-HU"/>
        </w:rPr>
        <w:t xml:space="preserve">. A létesítő okiratot be kell nyújtani – jogszabályokban meghatározott módon – a </w:t>
      </w:r>
      <w:r w:rsidRPr="00055041">
        <w:rPr>
          <w:rFonts w:ascii="Times New Roman" w:eastAsia="Times New Roman" w:hAnsi="Times New Roman" w:cs="Times New Roman"/>
          <w:i/>
          <w:sz w:val="24"/>
          <w:szCs w:val="24"/>
          <w:lang w:eastAsia="hu-HU"/>
        </w:rPr>
        <w:t>jogi személyt majdan nyilvántartó bírósághoz</w:t>
      </w:r>
      <w:r w:rsidRPr="00055041">
        <w:rPr>
          <w:rFonts w:ascii="Times New Roman" w:eastAsia="Times New Roman" w:hAnsi="Times New Roman" w:cs="Times New Roman"/>
          <w:sz w:val="24"/>
          <w:szCs w:val="24"/>
          <w:lang w:eastAsia="hu-HU"/>
        </w:rPr>
        <w:t xml:space="preserve">. Ez a </w:t>
      </w:r>
      <w:r w:rsidRPr="00055041">
        <w:rPr>
          <w:rFonts w:ascii="Times New Roman" w:eastAsia="Times New Roman" w:hAnsi="Times New Roman" w:cs="Times New Roman"/>
          <w:i/>
          <w:sz w:val="24"/>
          <w:szCs w:val="24"/>
          <w:lang w:eastAsia="hu-HU"/>
        </w:rPr>
        <w:t>bíróság</w:t>
      </w:r>
      <w:r w:rsidRPr="00055041">
        <w:rPr>
          <w:rFonts w:ascii="Times New Roman" w:eastAsia="Times New Roman" w:hAnsi="Times New Roman" w:cs="Times New Roman"/>
          <w:sz w:val="24"/>
          <w:szCs w:val="24"/>
          <w:lang w:eastAsia="hu-HU"/>
        </w:rPr>
        <w:t xml:space="preserve"> jelenleg a gazdasági társaságok, az egyesülés és a szövetkezetek esetében a cégbíróság, alapítványnál és egyesületnél a „rendes” polgári bíróság. (Egy, a Ptk.-ban nem szabályozott jogi személy típus van, amelyet nem a bíróság tart nyilván, ez a költségvetési szerv. A költségvetési szervek nyilvántartását a Magyar Államkincstár vezeti.) A jogi személyek nyilvántartásának a bíróságokhoz (és nem az államigazgatáshoz) való telepítése nagyon fontos </w:t>
      </w:r>
      <w:r w:rsidRPr="00055041">
        <w:rPr>
          <w:rFonts w:ascii="Times New Roman" w:eastAsia="Times New Roman" w:hAnsi="Times New Roman" w:cs="Times New Roman"/>
          <w:i/>
          <w:sz w:val="24"/>
          <w:szCs w:val="24"/>
          <w:lang w:eastAsia="hu-HU"/>
        </w:rPr>
        <w:t>jogállami biztosíték,</w:t>
      </w:r>
      <w:r w:rsidRPr="00055041">
        <w:rPr>
          <w:rFonts w:ascii="Times New Roman" w:eastAsia="Times New Roman" w:hAnsi="Times New Roman" w:cs="Times New Roman"/>
          <w:sz w:val="24"/>
          <w:szCs w:val="24"/>
          <w:lang w:eastAsia="hu-HU"/>
        </w:rPr>
        <w:t xml:space="preserve"> a szervezetek államigazgatástól való függetlenítését jelenti.</w:t>
      </w:r>
    </w:p>
    <w:p w14:paraId="2AF79099"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b/>
      </w:r>
    </w:p>
    <w:p w14:paraId="76730BCE" w14:textId="77777777" w:rsidR="00C022AA" w:rsidRPr="00055041" w:rsidRDefault="00C022AA" w:rsidP="00EC10C5">
      <w:pPr>
        <w:pStyle w:val="Stlus1"/>
        <w:rPr>
          <w:rFonts w:eastAsia="Times New Roman"/>
          <w:lang w:eastAsia="hu-HU"/>
        </w:rPr>
      </w:pPr>
      <w:r w:rsidRPr="00055041">
        <w:rPr>
          <w:rFonts w:eastAsia="Times New Roman"/>
          <w:lang w:eastAsia="hu-HU"/>
        </w:rPr>
        <w:lastRenderedPageBreak/>
        <w:t>A bírósági nyilvántartásba vétel (bejegyzés) hatálya, főbb jellemzői</w:t>
      </w:r>
    </w:p>
    <w:p w14:paraId="3698CFF4"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bírósági nyilvántartásba vétel a magyar jogban jelenleg </w:t>
      </w:r>
      <w:r w:rsidRPr="00055041">
        <w:rPr>
          <w:rFonts w:ascii="Times New Roman" w:eastAsia="Times New Roman" w:hAnsi="Times New Roman" w:cs="Times New Roman"/>
          <w:i/>
          <w:sz w:val="24"/>
          <w:szCs w:val="24"/>
          <w:lang w:eastAsia="hu-HU"/>
        </w:rPr>
        <w:t>konstitutív</w:t>
      </w:r>
      <w:r w:rsidRPr="00055041">
        <w:rPr>
          <w:rFonts w:ascii="Times New Roman" w:eastAsia="Times New Roman" w:hAnsi="Times New Roman" w:cs="Times New Roman"/>
          <w:sz w:val="24"/>
          <w:szCs w:val="24"/>
          <w:lang w:eastAsia="hu-HU"/>
        </w:rPr>
        <w:t xml:space="preserve"> jellegű és főszabályként, a jövőre nézve szól (1988–1997 között a hiányzó infrastruktúra miatt a gazdasági társaságokat visszamenő hatállyal jegyezték be). A </w:t>
      </w:r>
      <w:r w:rsidRPr="00055041">
        <w:rPr>
          <w:rFonts w:ascii="Times New Roman" w:eastAsia="Times New Roman" w:hAnsi="Times New Roman" w:cs="Times New Roman"/>
          <w:i/>
          <w:sz w:val="24"/>
          <w:szCs w:val="24"/>
          <w:lang w:eastAsia="hu-HU"/>
        </w:rPr>
        <w:t>konstitutív hatály azt jelenti</w:t>
      </w:r>
      <w:r w:rsidRPr="00055041">
        <w:rPr>
          <w:rFonts w:ascii="Times New Roman" w:eastAsia="Times New Roman" w:hAnsi="Times New Roman" w:cs="Times New Roman"/>
          <w:sz w:val="24"/>
          <w:szCs w:val="24"/>
          <w:lang w:eastAsia="hu-HU"/>
        </w:rPr>
        <w:t>, hogy a létesítő okirat alapján a bírósági nyilvántartásba (társaságoknál a cégjegyzékbe)</w:t>
      </w:r>
      <w:r w:rsidRPr="00055041">
        <w:rPr>
          <w:rFonts w:ascii="Times New Roman" w:eastAsia="Times New Roman" w:hAnsi="Times New Roman" w:cs="Times New Roman"/>
          <w:i/>
          <w:sz w:val="24"/>
          <w:szCs w:val="24"/>
          <w:vertAlign w:val="superscript"/>
          <w:lang w:eastAsia="hu-HU"/>
        </w:rPr>
        <w:footnoteReference w:id="3"/>
      </w:r>
      <w:r w:rsidRPr="00055041">
        <w:rPr>
          <w:rFonts w:ascii="Times New Roman" w:eastAsia="Times New Roman" w:hAnsi="Times New Roman" w:cs="Times New Roman"/>
          <w:sz w:val="24"/>
          <w:szCs w:val="24"/>
          <w:lang w:eastAsia="hu-HU"/>
        </w:rPr>
        <w:t xml:space="preserve"> való </w:t>
      </w:r>
      <w:r w:rsidRPr="00055041">
        <w:rPr>
          <w:rFonts w:ascii="Times New Roman" w:eastAsia="Times New Roman" w:hAnsi="Times New Roman" w:cs="Times New Roman"/>
          <w:i/>
          <w:sz w:val="24"/>
          <w:szCs w:val="24"/>
          <w:lang w:eastAsia="hu-HU"/>
        </w:rPr>
        <w:t>bejegyzéssel</w:t>
      </w:r>
      <w:r w:rsidRPr="00055041">
        <w:rPr>
          <w:rFonts w:ascii="Times New Roman" w:eastAsia="Times New Roman" w:hAnsi="Times New Roman" w:cs="Times New Roman"/>
          <w:sz w:val="24"/>
          <w:szCs w:val="24"/>
          <w:lang w:eastAsia="hu-HU"/>
        </w:rPr>
        <w:t xml:space="preserve"> (nyilvántartásba vétellel) </w:t>
      </w:r>
      <w:r w:rsidRPr="00055041">
        <w:rPr>
          <w:rFonts w:ascii="Times New Roman" w:eastAsia="Times New Roman" w:hAnsi="Times New Roman" w:cs="Times New Roman"/>
          <w:i/>
          <w:sz w:val="24"/>
          <w:szCs w:val="24"/>
          <w:lang w:eastAsia="hu-HU"/>
        </w:rPr>
        <w:t xml:space="preserve">nyeri el jogi </w:t>
      </w:r>
      <w:proofErr w:type="spellStart"/>
      <w:r w:rsidRPr="00055041">
        <w:rPr>
          <w:rFonts w:ascii="Times New Roman" w:eastAsia="Times New Roman" w:hAnsi="Times New Roman" w:cs="Times New Roman"/>
          <w:i/>
          <w:sz w:val="24"/>
          <w:szCs w:val="24"/>
          <w:lang w:eastAsia="hu-HU"/>
        </w:rPr>
        <w:t>személységét</w:t>
      </w:r>
      <w:proofErr w:type="spellEnd"/>
      <w:r w:rsidRPr="00055041">
        <w:rPr>
          <w:rFonts w:ascii="Times New Roman" w:eastAsia="Times New Roman" w:hAnsi="Times New Roman" w:cs="Times New Roman"/>
          <w:sz w:val="24"/>
          <w:szCs w:val="24"/>
          <w:lang w:eastAsia="hu-HU"/>
        </w:rPr>
        <w:t xml:space="preserve"> az adott szervezet. A szervezet </w:t>
      </w:r>
      <w:r w:rsidRPr="00055041">
        <w:rPr>
          <w:rFonts w:ascii="Times New Roman" w:eastAsia="Times New Roman" w:hAnsi="Times New Roman" w:cs="Times New Roman"/>
          <w:i/>
          <w:sz w:val="24"/>
          <w:szCs w:val="24"/>
          <w:lang w:eastAsia="hu-HU"/>
        </w:rPr>
        <w:t xml:space="preserve">jogi </w:t>
      </w:r>
      <w:proofErr w:type="spellStart"/>
      <w:r w:rsidRPr="00055041">
        <w:rPr>
          <w:rFonts w:ascii="Times New Roman" w:eastAsia="Times New Roman" w:hAnsi="Times New Roman" w:cs="Times New Roman"/>
          <w:i/>
          <w:sz w:val="24"/>
          <w:szCs w:val="24"/>
          <w:lang w:eastAsia="hu-HU"/>
        </w:rPr>
        <w:t>személységét</w:t>
      </w:r>
      <w:proofErr w:type="spellEnd"/>
      <w:r w:rsidRPr="00055041">
        <w:rPr>
          <w:rFonts w:ascii="Times New Roman" w:eastAsia="Times New Roman" w:hAnsi="Times New Roman" w:cs="Times New Roman"/>
          <w:sz w:val="24"/>
          <w:szCs w:val="24"/>
          <w:lang w:eastAsia="hu-HU"/>
        </w:rPr>
        <w:t xml:space="preserve"> a </w:t>
      </w:r>
      <w:r w:rsidRPr="00055041">
        <w:rPr>
          <w:rFonts w:ascii="Times New Roman" w:eastAsia="Times New Roman" w:hAnsi="Times New Roman" w:cs="Times New Roman"/>
          <w:i/>
          <w:sz w:val="24"/>
          <w:szCs w:val="24"/>
          <w:lang w:eastAsia="hu-HU"/>
        </w:rPr>
        <w:t>nyilvántartásból való törléssel veszíti el</w:t>
      </w:r>
      <w:r w:rsidRPr="00055041">
        <w:rPr>
          <w:rFonts w:ascii="Times New Roman" w:eastAsia="Times New Roman" w:hAnsi="Times New Roman" w:cs="Times New Roman"/>
          <w:sz w:val="24"/>
          <w:szCs w:val="24"/>
          <w:lang w:eastAsia="hu-HU"/>
        </w:rPr>
        <w:t xml:space="preserve">. A nyilvántartás a jogi személy alapvető adatait </w:t>
      </w:r>
      <w:r w:rsidRPr="00055041">
        <w:rPr>
          <w:rFonts w:ascii="Times New Roman" w:eastAsia="Times New Roman" w:hAnsi="Times New Roman" w:cs="Times New Roman"/>
          <w:i/>
          <w:sz w:val="24"/>
          <w:szCs w:val="24"/>
          <w:lang w:eastAsia="hu-HU"/>
        </w:rPr>
        <w:t>közhitelesen</w:t>
      </w:r>
      <w:r w:rsidRPr="00055041">
        <w:rPr>
          <w:rFonts w:ascii="Times New Roman" w:eastAsia="Times New Roman" w:hAnsi="Times New Roman" w:cs="Times New Roman"/>
          <w:sz w:val="24"/>
          <w:szCs w:val="24"/>
          <w:lang w:eastAsia="hu-HU"/>
        </w:rPr>
        <w:t xml:space="preserve"> tanúsítja, azaz a nyilvántartás adataiban a jóhiszemű harmadik személyek megbízhatnak. </w:t>
      </w:r>
    </w:p>
    <w:p w14:paraId="6F8B6126"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w:t>
      </w:r>
      <w:r w:rsidR="00FA53C7">
        <w:rPr>
          <w:rFonts w:ascii="Times New Roman" w:eastAsia="Times New Roman" w:hAnsi="Times New Roman" w:cs="Times New Roman"/>
          <w:i/>
          <w:sz w:val="24"/>
          <w:szCs w:val="24"/>
          <w:lang w:eastAsia="hu-HU"/>
        </w:rPr>
        <w:t>cégnyilvántartásról</w:t>
      </w:r>
      <w:r w:rsidRPr="00055041">
        <w:rPr>
          <w:rFonts w:ascii="Times New Roman" w:eastAsia="Times New Roman" w:hAnsi="Times New Roman" w:cs="Times New Roman"/>
          <w:sz w:val="24"/>
          <w:szCs w:val="24"/>
          <w:lang w:eastAsia="hu-HU"/>
        </w:rPr>
        <w:t xml:space="preserve">, illetve az </w:t>
      </w:r>
      <w:r w:rsidRPr="00055041">
        <w:rPr>
          <w:rFonts w:ascii="Times New Roman" w:eastAsia="Times New Roman" w:hAnsi="Times New Roman" w:cs="Times New Roman"/>
          <w:i/>
          <w:sz w:val="24"/>
          <w:szCs w:val="24"/>
          <w:lang w:eastAsia="hu-HU"/>
        </w:rPr>
        <w:t>egyesületek–alapítványok nyilvántartásáról</w:t>
      </w:r>
      <w:r w:rsidRPr="00055041">
        <w:rPr>
          <w:rFonts w:ascii="Times New Roman" w:eastAsia="Times New Roman" w:hAnsi="Times New Roman" w:cs="Times New Roman"/>
          <w:sz w:val="24"/>
          <w:szCs w:val="24"/>
          <w:lang w:eastAsia="hu-HU"/>
        </w:rPr>
        <w:t xml:space="preserve"> külön-külön törvények rendelkeznek.</w:t>
      </w:r>
    </w:p>
    <w:p w14:paraId="511AE591"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személyek nyilvántartása </w:t>
      </w:r>
      <w:r w:rsidRPr="00055041">
        <w:rPr>
          <w:rFonts w:ascii="Times New Roman" w:eastAsia="Times New Roman" w:hAnsi="Times New Roman" w:cs="Times New Roman"/>
          <w:i/>
          <w:sz w:val="24"/>
          <w:szCs w:val="24"/>
          <w:lang w:eastAsia="hu-HU"/>
        </w:rPr>
        <w:t>közhiteles</w:t>
      </w:r>
      <w:r w:rsidRPr="00055041">
        <w:rPr>
          <w:rFonts w:ascii="Times New Roman" w:eastAsia="Times New Roman" w:hAnsi="Times New Roman" w:cs="Times New Roman"/>
          <w:sz w:val="24"/>
          <w:szCs w:val="24"/>
          <w:lang w:eastAsia="hu-HU"/>
        </w:rPr>
        <w:t xml:space="preserve">, ami azt jelenti, hogy </w:t>
      </w:r>
      <w:r w:rsidRPr="00055041">
        <w:rPr>
          <w:rFonts w:ascii="Times New Roman" w:eastAsia="Times New Roman" w:hAnsi="Times New Roman" w:cs="Times New Roman"/>
          <w:i/>
          <w:sz w:val="24"/>
          <w:szCs w:val="24"/>
          <w:lang w:eastAsia="hu-HU"/>
        </w:rPr>
        <w:t>vélelmezni kell</w:t>
      </w:r>
      <w:r w:rsidRPr="00055041">
        <w:rPr>
          <w:rFonts w:ascii="Times New Roman" w:eastAsia="Times New Roman" w:hAnsi="Times New Roman" w:cs="Times New Roman"/>
          <w:sz w:val="24"/>
          <w:szCs w:val="24"/>
          <w:lang w:eastAsia="hu-HU"/>
        </w:rPr>
        <w:t xml:space="preserve"> a </w:t>
      </w:r>
      <w:r w:rsidRPr="00055041">
        <w:rPr>
          <w:rFonts w:ascii="Times New Roman" w:eastAsia="Times New Roman" w:hAnsi="Times New Roman" w:cs="Times New Roman"/>
          <w:i/>
          <w:sz w:val="24"/>
          <w:szCs w:val="24"/>
          <w:lang w:eastAsia="hu-HU"/>
        </w:rPr>
        <w:t>nyilvántartott adatok valódiságát</w:t>
      </w:r>
      <w:r w:rsidRPr="00055041">
        <w:rPr>
          <w:rFonts w:ascii="Times New Roman" w:eastAsia="Times New Roman" w:hAnsi="Times New Roman" w:cs="Times New Roman"/>
          <w:sz w:val="24"/>
          <w:szCs w:val="24"/>
          <w:lang w:eastAsia="hu-HU"/>
        </w:rPr>
        <w:t xml:space="preserve">, senki sem hivatkozhat arra, hogy a nyilvántartott adatról nem tudott, hiszen a nyilvántartás nyilvános, tudomást szerezhetett volna róla. A jogi személy pedig végképp nem hivatkozhat arra, hogy bármely általa bejelentett adat nem felel meg a valódiságnak. Végül a Ptk. 3:13. § (2) bekezdésében azt is kimondja, hogy az </w:t>
      </w:r>
      <w:r w:rsidRPr="00055041">
        <w:rPr>
          <w:rFonts w:ascii="Times New Roman" w:eastAsia="Times New Roman" w:hAnsi="Times New Roman" w:cs="Times New Roman"/>
          <w:i/>
          <w:sz w:val="24"/>
          <w:szCs w:val="24"/>
          <w:lang w:eastAsia="hu-HU"/>
        </w:rPr>
        <w:t>ellenkező bizonyításig</w:t>
      </w:r>
      <w:r w:rsidRPr="00055041">
        <w:rPr>
          <w:rFonts w:ascii="Times New Roman" w:eastAsia="Times New Roman" w:hAnsi="Times New Roman" w:cs="Times New Roman"/>
          <w:sz w:val="24"/>
          <w:szCs w:val="24"/>
          <w:lang w:eastAsia="hu-HU"/>
        </w:rPr>
        <w:t xml:space="preserve"> vélelmezni kell (ún. </w:t>
      </w:r>
      <w:r w:rsidRPr="00055041">
        <w:rPr>
          <w:rFonts w:ascii="Times New Roman" w:eastAsia="Times New Roman" w:hAnsi="Times New Roman" w:cs="Times New Roman"/>
          <w:i/>
          <w:sz w:val="24"/>
          <w:szCs w:val="24"/>
          <w:lang w:eastAsia="hu-HU"/>
        </w:rPr>
        <w:t>megdönthető vélelem</w:t>
      </w:r>
      <w:r w:rsidRPr="00055041">
        <w:rPr>
          <w:rFonts w:ascii="Times New Roman" w:eastAsia="Times New Roman" w:hAnsi="Times New Roman" w:cs="Times New Roman"/>
          <w:sz w:val="24"/>
          <w:szCs w:val="24"/>
          <w:lang w:eastAsia="hu-HU"/>
        </w:rPr>
        <w:t>) annak jóhiszeműségét, aki a nyilvántartásban bízva nem ingyenesen (tehát ellenértékét fejében) szerzett jogot.</w:t>
      </w:r>
    </w:p>
    <w:p w14:paraId="0FE5C1C6"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Fontos jogállami biztosíték, hogy a bíróság, amennyiben a létesítő okirat megfelelt a törvényeknek, köteles a jogi személyt nyilvántartásba venni, gazdasági, politikai, célszerűségi szempontokat nem mérlegelhet (3:4. §). A bejegyzést tehát a bíróság </w:t>
      </w:r>
      <w:r w:rsidRPr="00055041">
        <w:rPr>
          <w:rFonts w:ascii="Times New Roman" w:eastAsia="Times New Roman" w:hAnsi="Times New Roman" w:cs="Times New Roman"/>
          <w:i/>
          <w:sz w:val="24"/>
          <w:szCs w:val="24"/>
          <w:lang w:eastAsia="hu-HU"/>
        </w:rPr>
        <w:t>csak törvényben meghatározott okokból</w:t>
      </w:r>
      <w:r w:rsidRPr="00055041">
        <w:rPr>
          <w:rFonts w:ascii="Times New Roman" w:eastAsia="Times New Roman" w:hAnsi="Times New Roman" w:cs="Times New Roman"/>
          <w:sz w:val="24"/>
          <w:szCs w:val="24"/>
          <w:lang w:eastAsia="hu-HU"/>
        </w:rPr>
        <w:t xml:space="preserve"> tagadhatja meg. (A Ptk. szövegében jogszabály szerepel, de a jogi személy típusok törvényben vannak szabályozva.) Ezt a nyilvántartási rendszert nevezi a jogi elmélet a </w:t>
      </w:r>
      <w:r w:rsidRPr="00055041">
        <w:rPr>
          <w:rFonts w:ascii="Times New Roman" w:eastAsia="Times New Roman" w:hAnsi="Times New Roman" w:cs="Times New Roman"/>
          <w:i/>
          <w:sz w:val="24"/>
          <w:szCs w:val="24"/>
          <w:lang w:eastAsia="hu-HU"/>
        </w:rPr>
        <w:t>normatív feltételek rendszerének</w:t>
      </w:r>
      <w:r w:rsidRPr="00055041">
        <w:rPr>
          <w:rFonts w:ascii="Times New Roman" w:eastAsia="Times New Roman" w:hAnsi="Times New Roman" w:cs="Times New Roman"/>
          <w:sz w:val="24"/>
          <w:szCs w:val="24"/>
          <w:lang w:eastAsia="hu-HU"/>
        </w:rPr>
        <w:t>.</w:t>
      </w:r>
    </w:p>
    <w:p w14:paraId="7C477117"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létesítendő jogi személy, nyilvántartásba való bejegyzése iránti </w:t>
      </w:r>
      <w:r w:rsidRPr="00055041">
        <w:rPr>
          <w:rFonts w:ascii="Times New Roman" w:eastAsia="Times New Roman" w:hAnsi="Times New Roman" w:cs="Times New Roman"/>
          <w:i/>
          <w:sz w:val="24"/>
          <w:szCs w:val="24"/>
          <w:lang w:eastAsia="hu-HU"/>
        </w:rPr>
        <w:t>kérelmének benyújtására</w:t>
      </w:r>
      <w:r w:rsidRPr="00055041">
        <w:rPr>
          <w:rFonts w:ascii="Times New Roman" w:eastAsia="Times New Roman" w:hAnsi="Times New Roman" w:cs="Times New Roman"/>
          <w:sz w:val="24"/>
          <w:szCs w:val="24"/>
          <w:lang w:eastAsia="hu-HU"/>
        </w:rPr>
        <w:t xml:space="preserve"> a Ptk. 3:12. § szerint a jogi személy </w:t>
      </w:r>
      <w:r w:rsidRPr="00055041">
        <w:rPr>
          <w:rFonts w:ascii="Times New Roman" w:eastAsia="Times New Roman" w:hAnsi="Times New Roman" w:cs="Times New Roman"/>
          <w:i/>
          <w:sz w:val="24"/>
          <w:szCs w:val="24"/>
          <w:lang w:eastAsia="hu-HU"/>
        </w:rPr>
        <w:t>képviseletére (a létesítő okiratban) megjelölt személy</w:t>
      </w:r>
      <w:r w:rsidRPr="00055041">
        <w:rPr>
          <w:rFonts w:ascii="Times New Roman" w:eastAsia="Times New Roman" w:hAnsi="Times New Roman" w:cs="Times New Roman"/>
          <w:sz w:val="24"/>
          <w:szCs w:val="24"/>
          <w:lang w:eastAsia="hu-HU"/>
        </w:rPr>
        <w:t xml:space="preserve"> köteles, akit ennek elmulasztásáért, késedelméért, hibás vagy hiányos voltából eredő károkért a Ptk. kifejezetten felelőssé tesz, mégpedig a </w:t>
      </w:r>
      <w:r w:rsidRPr="00055041">
        <w:rPr>
          <w:rFonts w:ascii="Times New Roman" w:eastAsia="Times New Roman" w:hAnsi="Times New Roman" w:cs="Times New Roman"/>
          <w:i/>
          <w:sz w:val="24"/>
          <w:szCs w:val="24"/>
          <w:lang w:eastAsia="hu-HU"/>
        </w:rPr>
        <w:t>szerződésszegéssel okozott károkért való felelősség</w:t>
      </w:r>
      <w:r w:rsidRPr="00055041">
        <w:rPr>
          <w:rFonts w:ascii="Times New Roman" w:eastAsia="Times New Roman" w:hAnsi="Times New Roman" w:cs="Times New Roman"/>
          <w:sz w:val="24"/>
          <w:szCs w:val="24"/>
          <w:lang w:eastAsia="hu-HU"/>
        </w:rPr>
        <w:t xml:space="preserve"> szabályai szerint. </w:t>
      </w:r>
    </w:p>
    <w:p w14:paraId="5BCA66FB"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magyar bírósági nyilvántartási rendszer </w:t>
      </w:r>
      <w:proofErr w:type="gramStart"/>
      <w:r w:rsidRPr="00055041">
        <w:rPr>
          <w:rFonts w:ascii="Times New Roman" w:eastAsia="Times New Roman" w:hAnsi="Times New Roman" w:cs="Times New Roman"/>
          <w:sz w:val="24"/>
          <w:szCs w:val="24"/>
          <w:lang w:eastAsia="hu-HU"/>
        </w:rPr>
        <w:t>teljes körűen</w:t>
      </w:r>
      <w:proofErr w:type="gramEnd"/>
      <w:r w:rsidRPr="00055041">
        <w:rPr>
          <w:rFonts w:ascii="Times New Roman" w:eastAsia="Times New Roman" w:hAnsi="Times New Roman" w:cs="Times New Roman"/>
          <w:sz w:val="24"/>
          <w:szCs w:val="24"/>
          <w:lang w:eastAsia="hu-HU"/>
        </w:rPr>
        <w:t xml:space="preserve"> elektronizált</w:t>
      </w:r>
      <w:r w:rsidRPr="00055041">
        <w:rPr>
          <w:rFonts w:ascii="Times New Roman" w:eastAsia="Times New Roman" w:hAnsi="Times New Roman" w:cs="Times New Roman"/>
          <w:sz w:val="24"/>
          <w:szCs w:val="24"/>
          <w:vertAlign w:val="superscript"/>
          <w:lang w:eastAsia="hu-HU"/>
        </w:rPr>
        <w:footnoteReference w:id="4"/>
      </w:r>
      <w:r w:rsidRPr="00055041">
        <w:rPr>
          <w:rFonts w:ascii="Times New Roman" w:eastAsia="Times New Roman" w:hAnsi="Times New Roman" w:cs="Times New Roman"/>
          <w:sz w:val="24"/>
          <w:szCs w:val="24"/>
          <w:lang w:eastAsia="hu-HU"/>
        </w:rPr>
        <w:t>. A cégeljárásban az elektronizáció teljes körű, azaz kötelező és kizárólagos az elektronikus eljárás. A civil szervezetek esetében is már csak nagyon szűk körben van lehetőség papír alapú eljárás kezdeményezésére</w:t>
      </w:r>
      <w:r w:rsidRPr="00055041">
        <w:rPr>
          <w:rFonts w:ascii="Times New Roman" w:eastAsia="Times New Roman" w:hAnsi="Times New Roman" w:cs="Times New Roman"/>
          <w:sz w:val="24"/>
          <w:szCs w:val="24"/>
          <w:vertAlign w:val="superscript"/>
          <w:lang w:eastAsia="hu-HU"/>
        </w:rPr>
        <w:footnoteReference w:id="5"/>
      </w:r>
      <w:r w:rsidRPr="00055041">
        <w:rPr>
          <w:rFonts w:ascii="Times New Roman" w:eastAsia="Times New Roman" w:hAnsi="Times New Roman" w:cs="Times New Roman"/>
          <w:sz w:val="24"/>
          <w:szCs w:val="24"/>
          <w:lang w:eastAsia="hu-HU"/>
        </w:rPr>
        <w:t xml:space="preserve">. A </w:t>
      </w:r>
      <w:r w:rsidRPr="00055041">
        <w:rPr>
          <w:rFonts w:ascii="Times New Roman" w:eastAsia="Times New Roman" w:hAnsi="Times New Roman" w:cs="Times New Roman"/>
          <w:i/>
          <w:sz w:val="24"/>
          <w:szCs w:val="24"/>
          <w:lang w:eastAsia="hu-HU"/>
        </w:rPr>
        <w:t>jogi személyek nyilvántartásába</w:t>
      </w:r>
      <w:r w:rsidRPr="00055041">
        <w:rPr>
          <w:rFonts w:ascii="Times New Roman" w:eastAsia="Times New Roman" w:hAnsi="Times New Roman" w:cs="Times New Roman"/>
          <w:sz w:val="24"/>
          <w:szCs w:val="24"/>
          <w:lang w:eastAsia="hu-HU"/>
        </w:rPr>
        <w:t xml:space="preserve"> jogot, tényt, adatot bejegyezni csak vagy jogszabályokban meghatározott okirat vagy bírósági, illetve más hatósági határozat alapján lehet. Valamennyi jogi személy nyilvántartása a Ptk. szerint nyilvános, abba bárki </w:t>
      </w:r>
      <w:r w:rsidRPr="00055041">
        <w:rPr>
          <w:rFonts w:ascii="Times New Roman" w:eastAsia="Times New Roman" w:hAnsi="Times New Roman" w:cs="Times New Roman"/>
          <w:sz w:val="24"/>
          <w:szCs w:val="24"/>
          <w:lang w:eastAsia="hu-HU"/>
        </w:rPr>
        <w:lastRenderedPageBreak/>
        <w:t>betekinthet, és a jogi személyek jelentős részénél a törvény hivatalos lapban való közzétételt is előír (a társaságok esetén általában a Cégközlönyben).</w:t>
      </w:r>
    </w:p>
    <w:p w14:paraId="602618ED"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 </w:t>
      </w:r>
      <w:r w:rsidRPr="00055041">
        <w:rPr>
          <w:rFonts w:ascii="Times New Roman" w:eastAsia="Times New Roman" w:hAnsi="Times New Roman" w:cs="Times New Roman"/>
          <w:i/>
          <w:sz w:val="24"/>
          <w:szCs w:val="24"/>
          <w:lang w:eastAsia="hu-HU"/>
        </w:rPr>
        <w:t>határozott</w:t>
      </w:r>
      <w:r w:rsidRPr="00055041">
        <w:rPr>
          <w:rFonts w:ascii="Times New Roman" w:eastAsia="Times New Roman" w:hAnsi="Times New Roman" w:cs="Times New Roman"/>
          <w:sz w:val="24"/>
          <w:szCs w:val="24"/>
          <w:lang w:eastAsia="hu-HU"/>
        </w:rPr>
        <w:t xml:space="preserve"> vagy </w:t>
      </w:r>
      <w:r w:rsidRPr="00055041">
        <w:rPr>
          <w:rFonts w:ascii="Times New Roman" w:eastAsia="Times New Roman" w:hAnsi="Times New Roman" w:cs="Times New Roman"/>
          <w:i/>
          <w:sz w:val="24"/>
          <w:szCs w:val="24"/>
          <w:lang w:eastAsia="hu-HU"/>
        </w:rPr>
        <w:t>határozatlan</w:t>
      </w:r>
      <w:r w:rsidRPr="00055041">
        <w:rPr>
          <w:rFonts w:ascii="Times New Roman" w:eastAsia="Times New Roman" w:hAnsi="Times New Roman" w:cs="Times New Roman"/>
          <w:sz w:val="24"/>
          <w:szCs w:val="24"/>
          <w:lang w:eastAsia="hu-HU"/>
        </w:rPr>
        <w:t xml:space="preserve"> időre egyaránt létrejöhet, erről az alapító(k) dönt(</w:t>
      </w:r>
      <w:proofErr w:type="spellStart"/>
      <w:r w:rsidRPr="00055041">
        <w:rPr>
          <w:rFonts w:ascii="Times New Roman" w:eastAsia="Times New Roman" w:hAnsi="Times New Roman" w:cs="Times New Roman"/>
          <w:sz w:val="24"/>
          <w:szCs w:val="24"/>
          <w:lang w:eastAsia="hu-HU"/>
        </w:rPr>
        <w:t>enek</w:t>
      </w:r>
      <w:proofErr w:type="spellEnd"/>
      <w:r w:rsidRPr="00055041">
        <w:rPr>
          <w:rFonts w:ascii="Times New Roman" w:eastAsia="Times New Roman" w:hAnsi="Times New Roman" w:cs="Times New Roman"/>
          <w:sz w:val="24"/>
          <w:szCs w:val="24"/>
          <w:lang w:eastAsia="hu-HU"/>
        </w:rPr>
        <w:t xml:space="preserve">). A Ptk. kiegészítő jelleggel csak annyit mond, hogy ha e kérdésről a létesítő okirat nem rendelkezik, úgy a jogi személy </w:t>
      </w:r>
      <w:r w:rsidRPr="00055041">
        <w:rPr>
          <w:rFonts w:ascii="Times New Roman" w:eastAsia="Times New Roman" w:hAnsi="Times New Roman" w:cs="Times New Roman"/>
          <w:i/>
          <w:sz w:val="24"/>
          <w:szCs w:val="24"/>
          <w:lang w:eastAsia="hu-HU"/>
        </w:rPr>
        <w:t>határozatlan időre</w:t>
      </w:r>
      <w:r w:rsidRPr="00055041">
        <w:rPr>
          <w:rFonts w:ascii="Times New Roman" w:eastAsia="Times New Roman" w:hAnsi="Times New Roman" w:cs="Times New Roman"/>
          <w:sz w:val="24"/>
          <w:szCs w:val="24"/>
          <w:lang w:eastAsia="hu-HU"/>
        </w:rPr>
        <w:t xml:space="preserve"> jön létre.</w:t>
      </w:r>
    </w:p>
    <w:p w14:paraId="30971A5C"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közhitelesség érdekében a jogi személyek létesítő okirat érvénytelenségére nézve a szerződések érvénytelenségének általános szabályai – pl. a megtámadás lehetősége – csak a jogi személy nyilvántartásba való jogerős bejegyzéséig irányadóak. Ezt a korábbiaknál csak a gazdasági társaságoknál fennálló szabályt a Ptk. valamennyi jogi személyre nézve részben általánosította, részben szigorította. A 3:15. § ugyanis kimondja, hogy e nyilvántartásba való jogerős bejegyzés után </w:t>
      </w:r>
      <w:r w:rsidRPr="00055041">
        <w:rPr>
          <w:rFonts w:ascii="Times New Roman" w:eastAsia="Times New Roman" w:hAnsi="Times New Roman" w:cs="Times New Roman"/>
          <w:i/>
          <w:sz w:val="24"/>
          <w:szCs w:val="24"/>
          <w:lang w:eastAsia="hu-HU"/>
        </w:rPr>
        <w:t>érvénytelenség jogcímén törlési pert egyáltalán nem lehet indítani</w:t>
      </w:r>
      <w:r w:rsidRPr="00055041">
        <w:rPr>
          <w:rFonts w:ascii="Times New Roman" w:eastAsia="Times New Roman" w:hAnsi="Times New Roman" w:cs="Times New Roman"/>
          <w:sz w:val="24"/>
          <w:szCs w:val="24"/>
          <w:lang w:eastAsia="hu-HU"/>
        </w:rPr>
        <w:t>. (Korábban a táraságoknál néhány kivételes esetben helye volt a perindításnak.) Ha a létesítő okirat törvénysértő, ennek korrigálására az állami törvényességi felügyelet hivatott, amely felszólítja a jogi személyt a törvénysértés korrigálására, végső soron pedig – ha a törvénysértés másként nem kiküszöbölhető – a törvényességi felügyeletet gyakorló bíróság megszünteti a jogi személyt, azaz törli a nyilvántartásból.</w:t>
      </w:r>
      <w:r w:rsidRPr="00055041">
        <w:rPr>
          <w:rFonts w:ascii="Times New Roman" w:eastAsia="Times New Roman" w:hAnsi="Times New Roman" w:cs="Times New Roman"/>
          <w:sz w:val="24"/>
          <w:szCs w:val="24"/>
          <w:lang w:eastAsia="hu-HU"/>
        </w:rPr>
        <w:tab/>
      </w:r>
    </w:p>
    <w:p w14:paraId="2FDB023B"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p>
    <w:p w14:paraId="7FF15DDB" w14:textId="77777777" w:rsidR="00C022AA" w:rsidRPr="00055041" w:rsidRDefault="00C022AA" w:rsidP="00EC10C5">
      <w:pPr>
        <w:pStyle w:val="Stlus1"/>
        <w:rPr>
          <w:rFonts w:eastAsia="Times New Roman"/>
          <w:lang w:eastAsia="hu-HU"/>
        </w:rPr>
      </w:pPr>
      <w:r w:rsidRPr="00055041">
        <w:rPr>
          <w:rFonts w:eastAsia="Times New Roman"/>
          <w:lang w:eastAsia="hu-HU"/>
        </w:rPr>
        <w:t>A jogi személyek törvényességi felügyelete</w:t>
      </w:r>
    </w:p>
    <w:p w14:paraId="69AAA540"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személyek általános </w:t>
      </w:r>
      <w:r w:rsidRPr="00055041">
        <w:rPr>
          <w:rFonts w:ascii="Times New Roman" w:eastAsia="Times New Roman" w:hAnsi="Times New Roman" w:cs="Times New Roman"/>
          <w:i/>
          <w:sz w:val="24"/>
          <w:szCs w:val="24"/>
          <w:lang w:eastAsia="hu-HU"/>
        </w:rPr>
        <w:t>törvényességi felügyeletét</w:t>
      </w:r>
      <w:r w:rsidRPr="00055041">
        <w:rPr>
          <w:rFonts w:ascii="Times New Roman" w:eastAsia="Times New Roman" w:hAnsi="Times New Roman" w:cs="Times New Roman"/>
          <w:sz w:val="24"/>
          <w:szCs w:val="24"/>
          <w:lang w:eastAsia="hu-HU"/>
        </w:rPr>
        <w:t xml:space="preserve"> a jogi személyt </w:t>
      </w:r>
      <w:r w:rsidRPr="00055041">
        <w:rPr>
          <w:rFonts w:ascii="Times New Roman" w:eastAsia="Times New Roman" w:hAnsi="Times New Roman" w:cs="Times New Roman"/>
          <w:i/>
          <w:sz w:val="24"/>
          <w:szCs w:val="24"/>
          <w:lang w:eastAsia="hu-HU"/>
        </w:rPr>
        <w:t>nyilvántartó bíróság</w:t>
      </w:r>
      <w:r w:rsidRPr="00055041">
        <w:rPr>
          <w:rFonts w:ascii="Times New Roman" w:eastAsia="Times New Roman" w:hAnsi="Times New Roman" w:cs="Times New Roman"/>
          <w:sz w:val="24"/>
          <w:szCs w:val="24"/>
          <w:lang w:eastAsia="hu-HU"/>
        </w:rPr>
        <w:t xml:space="preserve"> látja el – kivétel a költségvetési szerv, amelynek alapítója egyben a jogi személy irányító szerve. A felügyelet kizárólag törvényességi jellegű, tehát nem jelentheti a jogi személy döntéseinek célszerűségi felülvizsgálatát. Emellett általános és </w:t>
      </w:r>
      <w:r w:rsidRPr="00055041">
        <w:rPr>
          <w:rFonts w:ascii="Times New Roman" w:eastAsia="Times New Roman" w:hAnsi="Times New Roman" w:cs="Times New Roman"/>
          <w:i/>
          <w:sz w:val="24"/>
          <w:szCs w:val="24"/>
          <w:lang w:eastAsia="hu-HU"/>
        </w:rPr>
        <w:t>alaki jellegű</w:t>
      </w:r>
      <w:r w:rsidRPr="00055041">
        <w:rPr>
          <w:rFonts w:ascii="Times New Roman" w:eastAsia="Times New Roman" w:hAnsi="Times New Roman" w:cs="Times New Roman"/>
          <w:sz w:val="24"/>
          <w:szCs w:val="24"/>
          <w:lang w:eastAsia="hu-HU"/>
        </w:rPr>
        <w:t xml:space="preserve"> (iratokon alapuló) felügyeletről van szó, amelyet jelenleg a gazdasági társaságok, szövetkezetek, egyesülések esetén a cégbíróság, egyesületek–alapítványok esetében a rendes polgári bíróság lát el. (A szakhatósági felügyelet nem a bíróságra tartozik.) A törvényességi felügyeleti eljárást, annak módszereit, szankcióit (pl. pénzbírság) a profitorientált jogi személyeknél a </w:t>
      </w:r>
      <w:r w:rsidRPr="00FA53C7">
        <w:rPr>
          <w:rFonts w:ascii="Times New Roman" w:eastAsia="Times New Roman" w:hAnsi="Times New Roman" w:cs="Times New Roman"/>
          <w:sz w:val="24"/>
          <w:szCs w:val="24"/>
          <w:lang w:eastAsia="hu-HU"/>
        </w:rPr>
        <w:t>cégtörvény (</w:t>
      </w:r>
      <w:proofErr w:type="spellStart"/>
      <w:r w:rsidRPr="00FA53C7">
        <w:rPr>
          <w:rFonts w:ascii="Times New Roman" w:eastAsia="Times New Roman" w:hAnsi="Times New Roman" w:cs="Times New Roman"/>
          <w:sz w:val="24"/>
          <w:szCs w:val="24"/>
          <w:lang w:eastAsia="hu-HU"/>
        </w:rPr>
        <w:t>Ctv</w:t>
      </w:r>
      <w:proofErr w:type="spellEnd"/>
      <w:r w:rsidRPr="00FA53C7">
        <w:rPr>
          <w:rFonts w:ascii="Times New Roman" w:eastAsia="Times New Roman" w:hAnsi="Times New Roman" w:cs="Times New Roman"/>
          <w:sz w:val="24"/>
          <w:szCs w:val="24"/>
          <w:lang w:eastAsia="hu-HU"/>
        </w:rPr>
        <w:t>.),</w:t>
      </w:r>
      <w:r w:rsidRPr="00055041">
        <w:rPr>
          <w:rFonts w:ascii="Times New Roman" w:eastAsia="Times New Roman" w:hAnsi="Times New Roman" w:cs="Times New Roman"/>
          <w:sz w:val="24"/>
          <w:szCs w:val="24"/>
          <w:lang w:eastAsia="hu-HU"/>
        </w:rPr>
        <w:t xml:space="preserve"> a </w:t>
      </w:r>
      <w:proofErr w:type="gramStart"/>
      <w:r w:rsidRPr="00055041">
        <w:rPr>
          <w:rFonts w:ascii="Times New Roman" w:eastAsia="Times New Roman" w:hAnsi="Times New Roman" w:cs="Times New Roman"/>
          <w:sz w:val="24"/>
          <w:szCs w:val="24"/>
          <w:lang w:eastAsia="hu-HU"/>
        </w:rPr>
        <w:t>non-profit</w:t>
      </w:r>
      <w:proofErr w:type="gramEnd"/>
      <w:r w:rsidRPr="00055041">
        <w:rPr>
          <w:rFonts w:ascii="Times New Roman" w:eastAsia="Times New Roman" w:hAnsi="Times New Roman" w:cs="Times New Roman"/>
          <w:sz w:val="24"/>
          <w:szCs w:val="24"/>
          <w:lang w:eastAsia="hu-HU"/>
        </w:rPr>
        <w:t xml:space="preserve"> szektorban az ún. civiltörvény (2011. évi CLXXV. törvény) határozza meg. Ha az enyhébb szankciók nem vezetnek eredményre, úgy a nyilvántartó bíróság meg is szünteti a jogi személyt (3:34. §).</w:t>
      </w:r>
    </w:p>
    <w:p w14:paraId="52926A7B" w14:textId="77777777" w:rsidR="00C022AA" w:rsidRPr="00055041" w:rsidRDefault="00C022AA" w:rsidP="00EC10C5">
      <w:pPr>
        <w:spacing w:after="60" w:line="240" w:lineRule="auto"/>
        <w:ind w:firstLine="709"/>
        <w:rPr>
          <w:rFonts w:ascii="Times New Roman" w:hAnsi="Times New Roman" w:cs="Times New Roman"/>
          <w:sz w:val="24"/>
          <w:szCs w:val="24"/>
        </w:rPr>
      </w:pPr>
    </w:p>
    <w:p w14:paraId="560BCF8B" w14:textId="77777777" w:rsidR="00C022AA" w:rsidRPr="00497C13" w:rsidRDefault="00C022AA" w:rsidP="00EC10C5">
      <w:pPr>
        <w:pStyle w:val="Cmsor2"/>
        <w:rPr>
          <w:rFonts w:ascii="Times New Roman" w:hAnsi="Times New Roman" w:cs="Times New Roman"/>
          <w:b/>
          <w:sz w:val="24"/>
          <w:szCs w:val="24"/>
        </w:rPr>
      </w:pPr>
      <w:r w:rsidRPr="00497C13">
        <w:rPr>
          <w:rFonts w:ascii="Times New Roman" w:hAnsi="Times New Roman" w:cs="Times New Roman"/>
          <w:b/>
          <w:sz w:val="24"/>
          <w:szCs w:val="24"/>
        </w:rPr>
        <w:t>B.4. A létesítő okirat tartalma</w:t>
      </w:r>
    </w:p>
    <w:p w14:paraId="1E25DFB0"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 Ptk. előírja, hogy a jogi személy létesítő okiratában (3:5. §) meg kell határozni</w:t>
      </w:r>
    </w:p>
    <w:p w14:paraId="2E0334C3" w14:textId="77777777" w:rsidR="00C022AA" w:rsidRPr="00055041" w:rsidRDefault="00C022AA" w:rsidP="00EC10C5">
      <w:pPr>
        <w:pStyle w:val="Stlus2"/>
        <w:rPr>
          <w:rFonts w:eastAsia="Times New Roman"/>
          <w:lang w:eastAsia="hu-HU"/>
        </w:rPr>
      </w:pPr>
      <w:r w:rsidRPr="00055041">
        <w:rPr>
          <w:rFonts w:eastAsia="Times New Roman"/>
          <w:lang w:eastAsia="hu-HU"/>
        </w:rPr>
        <w:t>a jogi személy nevét,</w:t>
      </w:r>
    </w:p>
    <w:p w14:paraId="4C0BDDCD" w14:textId="77777777" w:rsidR="00C022AA" w:rsidRPr="00055041" w:rsidRDefault="00C022AA" w:rsidP="00EC10C5">
      <w:pPr>
        <w:pStyle w:val="Stlus2"/>
        <w:rPr>
          <w:rFonts w:eastAsia="Times New Roman"/>
          <w:lang w:eastAsia="hu-HU"/>
        </w:rPr>
      </w:pPr>
      <w:r w:rsidRPr="00055041">
        <w:rPr>
          <w:rFonts w:eastAsia="Times New Roman"/>
          <w:lang w:eastAsia="hu-HU"/>
        </w:rPr>
        <w:t>a jogi személy székhelyét,</w:t>
      </w:r>
    </w:p>
    <w:p w14:paraId="7E48EDD1" w14:textId="77777777" w:rsidR="00C022AA" w:rsidRPr="00055041" w:rsidRDefault="00C022AA" w:rsidP="00EC10C5">
      <w:pPr>
        <w:pStyle w:val="Stlus2"/>
        <w:rPr>
          <w:rFonts w:eastAsia="Times New Roman"/>
          <w:lang w:eastAsia="hu-HU"/>
        </w:rPr>
      </w:pPr>
      <w:r w:rsidRPr="00055041">
        <w:rPr>
          <w:rFonts w:eastAsia="Times New Roman"/>
          <w:lang w:eastAsia="hu-HU"/>
        </w:rPr>
        <w:t>a jogi személy célját vagy főtevékenységét,</w:t>
      </w:r>
    </w:p>
    <w:p w14:paraId="4ED85DCA" w14:textId="77777777" w:rsidR="00C022AA" w:rsidRPr="00055041" w:rsidRDefault="00C022AA" w:rsidP="00EC10C5">
      <w:pPr>
        <w:pStyle w:val="Stlus2"/>
        <w:rPr>
          <w:rFonts w:eastAsia="Times New Roman"/>
          <w:lang w:eastAsia="hu-HU"/>
        </w:rPr>
      </w:pPr>
      <w:r w:rsidRPr="00055041">
        <w:rPr>
          <w:rFonts w:eastAsia="Times New Roman"/>
          <w:lang w:eastAsia="hu-HU"/>
        </w:rPr>
        <w:t>a jogi személyt alapító személy(</w:t>
      </w:r>
      <w:proofErr w:type="spellStart"/>
      <w:r w:rsidRPr="00055041">
        <w:rPr>
          <w:rFonts w:eastAsia="Times New Roman"/>
          <w:lang w:eastAsia="hu-HU"/>
        </w:rPr>
        <w:t>ek</w:t>
      </w:r>
      <w:proofErr w:type="spellEnd"/>
      <w:r w:rsidRPr="00055041">
        <w:rPr>
          <w:rFonts w:eastAsia="Times New Roman"/>
          <w:lang w:eastAsia="hu-HU"/>
        </w:rPr>
        <w:t>) nevét, lakhelyét, (székhelyét),</w:t>
      </w:r>
    </w:p>
    <w:p w14:paraId="5D92F9C1" w14:textId="77777777" w:rsidR="00C022AA" w:rsidRPr="00055041" w:rsidRDefault="00C022AA" w:rsidP="00EC10C5">
      <w:pPr>
        <w:pStyle w:val="Stlus2"/>
        <w:rPr>
          <w:rFonts w:eastAsia="Times New Roman"/>
          <w:lang w:eastAsia="hu-HU"/>
        </w:rPr>
      </w:pPr>
      <w:r w:rsidRPr="00055041">
        <w:rPr>
          <w:rFonts w:eastAsia="Times New Roman"/>
          <w:lang w:eastAsia="hu-HU"/>
        </w:rPr>
        <w:t>a jogi személy részére teljesítendő vagyoni hozzájárulást (hozzájárulásokat), a vagyon rendelkezésre bocsátásának módját és idejét,</w:t>
      </w:r>
    </w:p>
    <w:p w14:paraId="6A84461D" w14:textId="77777777" w:rsidR="00C022AA" w:rsidRPr="00055041" w:rsidRDefault="00C022AA" w:rsidP="00EC10C5">
      <w:pPr>
        <w:pStyle w:val="Stlus2"/>
        <w:rPr>
          <w:rFonts w:eastAsia="Times New Roman"/>
          <w:lang w:eastAsia="hu-HU"/>
        </w:rPr>
      </w:pPr>
      <w:r w:rsidRPr="00055041">
        <w:rPr>
          <w:rFonts w:eastAsia="Times New Roman"/>
          <w:lang w:eastAsia="hu-HU"/>
        </w:rPr>
        <w:t>a jogi személy első vezető tisztségviselőjét (tisztségviselőit).</w:t>
      </w:r>
    </w:p>
    <w:p w14:paraId="6F82C10A"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Természetesen a Ptk. 3:5. § csak a létesítő okirat </w:t>
      </w:r>
      <w:r w:rsidRPr="00055041">
        <w:rPr>
          <w:rFonts w:ascii="Times New Roman" w:eastAsia="Times New Roman" w:hAnsi="Times New Roman" w:cs="Times New Roman"/>
          <w:i/>
          <w:sz w:val="24"/>
          <w:szCs w:val="24"/>
          <w:lang w:eastAsia="hu-HU"/>
        </w:rPr>
        <w:t>általános törvényes kellékeit</w:t>
      </w:r>
      <w:r w:rsidRPr="00055041">
        <w:rPr>
          <w:rFonts w:ascii="Times New Roman" w:eastAsia="Times New Roman" w:hAnsi="Times New Roman" w:cs="Times New Roman"/>
          <w:sz w:val="24"/>
          <w:szCs w:val="24"/>
          <w:lang w:eastAsia="hu-HU"/>
        </w:rPr>
        <w:t xml:space="preserve"> tartalmazza és kiegészül a </w:t>
      </w:r>
      <w:r w:rsidRPr="00055041">
        <w:rPr>
          <w:rFonts w:ascii="Times New Roman" w:eastAsia="Times New Roman" w:hAnsi="Times New Roman" w:cs="Times New Roman"/>
          <w:i/>
          <w:sz w:val="24"/>
          <w:szCs w:val="24"/>
          <w:lang w:eastAsia="hu-HU"/>
        </w:rPr>
        <w:t>jogi személy egyes típusainál</w:t>
      </w:r>
      <w:r w:rsidRPr="00055041">
        <w:rPr>
          <w:rFonts w:ascii="Times New Roman" w:eastAsia="Times New Roman" w:hAnsi="Times New Roman" w:cs="Times New Roman"/>
          <w:sz w:val="24"/>
          <w:szCs w:val="24"/>
          <w:lang w:eastAsia="hu-HU"/>
        </w:rPr>
        <w:t xml:space="preserve"> az adott típus létesítő okiratával kapcsolatos többletkövetelményekkel. Az is természetes, hogy a jogi személy alapítói a létesítő okiratba bármilyen további – nem tilalmazott - feltételt is rögzíthetnek fakultatívan.</w:t>
      </w:r>
    </w:p>
    <w:p w14:paraId="06349C2A"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b/>
      </w:r>
    </w:p>
    <w:p w14:paraId="2B57B0BB" w14:textId="77777777" w:rsidR="00FA53C7" w:rsidRDefault="00FA53C7" w:rsidP="00EC10C5">
      <w:pPr>
        <w:pStyle w:val="Stlus1"/>
      </w:pPr>
    </w:p>
    <w:p w14:paraId="5E23B59F" w14:textId="77777777" w:rsidR="00C022AA" w:rsidRPr="00055041" w:rsidRDefault="00C022AA" w:rsidP="00EC10C5">
      <w:pPr>
        <w:pStyle w:val="Stlus1"/>
      </w:pPr>
      <w:r w:rsidRPr="00055041">
        <w:t>A jogi személy neve – cégnév</w:t>
      </w:r>
    </w:p>
    <w:p w14:paraId="1AFB7DBD"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lastRenderedPageBreak/>
        <w:t xml:space="preserve">A jogi személy nevének különböznie kell a már nyilvántartásba vett más jogi személyek nevétől – ez a </w:t>
      </w:r>
      <w:r w:rsidRPr="00055041">
        <w:rPr>
          <w:rFonts w:ascii="Times New Roman" w:eastAsia="Times New Roman" w:hAnsi="Times New Roman" w:cs="Times New Roman"/>
          <w:i/>
          <w:sz w:val="24"/>
          <w:szCs w:val="24"/>
          <w:lang w:eastAsia="hu-HU"/>
        </w:rPr>
        <w:t>névkizárólagosság elve.</w:t>
      </w:r>
      <w:r w:rsidRPr="00055041">
        <w:rPr>
          <w:rFonts w:ascii="Times New Roman" w:eastAsia="Times New Roman" w:hAnsi="Times New Roman" w:cs="Times New Roman"/>
          <w:sz w:val="24"/>
          <w:szCs w:val="24"/>
          <w:lang w:eastAsia="hu-HU"/>
        </w:rPr>
        <w:t xml:space="preserve"> A névválasztással az időbeli elsődlegesség érvényesül, azé a név, aki </w:t>
      </w:r>
      <w:r w:rsidRPr="00055041">
        <w:rPr>
          <w:rFonts w:ascii="Times New Roman" w:eastAsia="Times New Roman" w:hAnsi="Times New Roman" w:cs="Times New Roman"/>
          <w:i/>
          <w:sz w:val="24"/>
          <w:szCs w:val="24"/>
          <w:lang w:eastAsia="hu-HU"/>
        </w:rPr>
        <w:t>előbb</w:t>
      </w:r>
      <w:r w:rsidRPr="00055041">
        <w:rPr>
          <w:rFonts w:ascii="Times New Roman" w:eastAsia="Times New Roman" w:hAnsi="Times New Roman" w:cs="Times New Roman"/>
          <w:sz w:val="24"/>
          <w:szCs w:val="24"/>
          <w:lang w:eastAsia="hu-HU"/>
        </w:rPr>
        <w:t xml:space="preserve"> nyújtotta be e névvel a kérelmét a nyilvántartásba vételre. A jogi személy neve nem kelthet valósággal ellentétes látszatot – ez a </w:t>
      </w:r>
      <w:r w:rsidRPr="00055041">
        <w:rPr>
          <w:rFonts w:ascii="Times New Roman" w:eastAsia="Times New Roman" w:hAnsi="Times New Roman" w:cs="Times New Roman"/>
          <w:i/>
          <w:sz w:val="24"/>
          <w:szCs w:val="24"/>
          <w:lang w:eastAsia="hu-HU"/>
        </w:rPr>
        <w:t>névvalódiság elve</w:t>
      </w:r>
      <w:r w:rsidRPr="00055041">
        <w:rPr>
          <w:rFonts w:ascii="Times New Roman" w:eastAsia="Times New Roman" w:hAnsi="Times New Roman" w:cs="Times New Roman"/>
          <w:sz w:val="24"/>
          <w:szCs w:val="24"/>
          <w:lang w:eastAsia="hu-HU"/>
        </w:rPr>
        <w:t>. Emellett az elnevezésnek a magyar nyelv szabályainak megfelelőnek kell lennie (</w:t>
      </w:r>
      <w:r w:rsidRPr="00055041">
        <w:rPr>
          <w:rFonts w:ascii="Times New Roman" w:eastAsia="Times New Roman" w:hAnsi="Times New Roman" w:cs="Times New Roman"/>
          <w:i/>
          <w:sz w:val="24"/>
          <w:szCs w:val="24"/>
          <w:lang w:eastAsia="hu-HU"/>
        </w:rPr>
        <w:t>névszabatosság</w:t>
      </w:r>
      <w:r w:rsidRPr="00055041">
        <w:rPr>
          <w:rFonts w:ascii="Times New Roman" w:eastAsia="Times New Roman" w:hAnsi="Times New Roman" w:cs="Times New Roman"/>
          <w:sz w:val="24"/>
          <w:szCs w:val="24"/>
          <w:lang w:eastAsia="hu-HU"/>
        </w:rPr>
        <w:t xml:space="preserve"> elve). A jogi személy nevében a jogi személy típusát is fel kell tüntetni.</w:t>
      </w:r>
    </w:p>
    <w:p w14:paraId="3D13817E"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b/>
      </w:r>
    </w:p>
    <w:p w14:paraId="305BA3B4" w14:textId="77777777" w:rsidR="00C022AA" w:rsidRPr="00055041" w:rsidRDefault="00C022AA" w:rsidP="00EC10C5">
      <w:pPr>
        <w:pStyle w:val="Stlus1"/>
      </w:pPr>
      <w:r w:rsidRPr="00055041">
        <w:t>A jogi személy székhelye</w:t>
      </w:r>
    </w:p>
    <w:p w14:paraId="46A3FD91"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 </w:t>
      </w:r>
      <w:r w:rsidRPr="00055041">
        <w:rPr>
          <w:rFonts w:ascii="Times New Roman" w:eastAsia="Times New Roman" w:hAnsi="Times New Roman" w:cs="Times New Roman"/>
          <w:i/>
          <w:sz w:val="24"/>
          <w:szCs w:val="24"/>
          <w:lang w:eastAsia="hu-HU"/>
        </w:rPr>
        <w:t>székhelye</w:t>
      </w:r>
      <w:r w:rsidRPr="00055041">
        <w:rPr>
          <w:rFonts w:ascii="Times New Roman" w:eastAsia="Times New Roman" w:hAnsi="Times New Roman" w:cs="Times New Roman"/>
          <w:sz w:val="24"/>
          <w:szCs w:val="24"/>
          <w:lang w:eastAsia="hu-HU"/>
        </w:rPr>
        <w:t xml:space="preserve"> a jogi személy központi ügyintézésének helye, a nyilvántartásba bejegyzett </w:t>
      </w:r>
      <w:r w:rsidRPr="00055041">
        <w:rPr>
          <w:rFonts w:ascii="Times New Roman" w:eastAsia="Times New Roman" w:hAnsi="Times New Roman" w:cs="Times New Roman"/>
          <w:i/>
          <w:sz w:val="24"/>
          <w:szCs w:val="24"/>
          <w:lang w:eastAsia="hu-HU"/>
        </w:rPr>
        <w:t>irodája</w:t>
      </w:r>
      <w:r w:rsidRPr="00055041">
        <w:rPr>
          <w:rFonts w:ascii="Times New Roman" w:eastAsia="Times New Roman" w:hAnsi="Times New Roman" w:cs="Times New Roman"/>
          <w:sz w:val="24"/>
          <w:szCs w:val="24"/>
          <w:lang w:eastAsia="hu-HU"/>
        </w:rPr>
        <w:t>. Az iroda fogadja a jogi személyhez intézett jognyilatkozatokat, a jogi személy kereskedelmi forgalomban való, illetve a hatóságok általi elérhetőségét.</w:t>
      </w:r>
    </w:p>
    <w:p w14:paraId="1C4380F7"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b/>
      </w:r>
    </w:p>
    <w:p w14:paraId="64B73CAD" w14:textId="77777777" w:rsidR="00C022AA" w:rsidRPr="00055041" w:rsidRDefault="00C022AA" w:rsidP="00EC10C5">
      <w:pPr>
        <w:pStyle w:val="Stlus1"/>
      </w:pPr>
      <w:r w:rsidRPr="00055041">
        <w:t>A jogi személy tevékenysége</w:t>
      </w:r>
    </w:p>
    <w:p w14:paraId="649F947C"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Ptk. a személyek magánautonómiáját a </w:t>
      </w:r>
      <w:r w:rsidRPr="00055041">
        <w:rPr>
          <w:rFonts w:ascii="Times New Roman" w:eastAsia="Times New Roman" w:hAnsi="Times New Roman" w:cs="Times New Roman"/>
          <w:i/>
          <w:sz w:val="24"/>
          <w:szCs w:val="24"/>
          <w:lang w:eastAsia="hu-HU"/>
        </w:rPr>
        <w:t>tevékenységi kör</w:t>
      </w:r>
      <w:r w:rsidRPr="00055041">
        <w:rPr>
          <w:rFonts w:ascii="Times New Roman" w:eastAsia="Times New Roman" w:hAnsi="Times New Roman" w:cs="Times New Roman"/>
          <w:sz w:val="24"/>
          <w:szCs w:val="24"/>
          <w:lang w:eastAsia="hu-HU"/>
        </w:rPr>
        <w:t xml:space="preserve"> tekintetében is biztosítja, amikor kimondja, hogy a jogi személy minden olyan tevékenységet folytathat, amit jogszabály nem tilt, vagy nem korlátoz. (Egyes tevékenységek folytatásához hatósági engedély kell, és ún. képesítési követelmények is vannak.)</w:t>
      </w:r>
    </w:p>
    <w:p w14:paraId="59103881"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b/>
      </w:r>
    </w:p>
    <w:p w14:paraId="5E549670" w14:textId="77777777" w:rsidR="00C022AA" w:rsidRPr="00055041" w:rsidRDefault="00C022AA" w:rsidP="00EC10C5">
      <w:pPr>
        <w:pStyle w:val="Stlus1"/>
      </w:pPr>
      <w:r w:rsidRPr="00055041">
        <w:t>A jogi személy alapítója, vezető tisztségviselője</w:t>
      </w:r>
    </w:p>
    <w:p w14:paraId="6E1C1DE7"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 jogi személynek egy vagy több alapítója van, akik a nem intézménytípusú, hanem a személyegyesítő jogi személyeknek egyben a jogi személyek tagjává is válnak. A létesítendő okiratban az alapítókat fel kell sorolni.</w:t>
      </w:r>
    </w:p>
    <w:p w14:paraId="47B4113E"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 ügyvezetését – a Ptk. általánosította a társasági jogi terminológiát – </w:t>
      </w:r>
      <w:r w:rsidRPr="00055041">
        <w:rPr>
          <w:rFonts w:ascii="Times New Roman" w:eastAsia="Times New Roman" w:hAnsi="Times New Roman" w:cs="Times New Roman"/>
          <w:i/>
          <w:sz w:val="24"/>
          <w:szCs w:val="24"/>
          <w:lang w:eastAsia="hu-HU"/>
        </w:rPr>
        <w:t>vezető tisztségviselők</w:t>
      </w:r>
      <w:r w:rsidRPr="00055041">
        <w:rPr>
          <w:rFonts w:ascii="Times New Roman" w:eastAsia="Times New Roman" w:hAnsi="Times New Roman" w:cs="Times New Roman"/>
          <w:sz w:val="24"/>
          <w:szCs w:val="24"/>
          <w:lang w:eastAsia="hu-HU"/>
        </w:rPr>
        <w:t xml:space="preserve"> látják el egyénileg vagy testületben. A jogi személy működőképességéhez szükséges, hogy az első tisztségviselőket a létesítő okirat kijelölje.</w:t>
      </w:r>
    </w:p>
    <w:p w14:paraId="620647C5"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ab/>
      </w:r>
    </w:p>
    <w:p w14:paraId="25FC3F03" w14:textId="77777777" w:rsidR="00C022AA" w:rsidRPr="00055041" w:rsidRDefault="00C022AA" w:rsidP="00EC10C5">
      <w:pPr>
        <w:pStyle w:val="Stlus1"/>
      </w:pPr>
      <w:r w:rsidRPr="00055041">
        <w:t>A Jogi személy vagyona</w:t>
      </w:r>
    </w:p>
    <w:p w14:paraId="590A25E3"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 vagyon nélkül nem működhet. Az alapítóknak tehát a jogi személy részére vagyont kell biztosítaniuk, ennek értékét, módját, időpontját a létesítő okiratnak tartalmaznia kell. (Egyes jogi személyeknél – </w:t>
      </w:r>
      <w:proofErr w:type="gramStart"/>
      <w:r w:rsidRPr="00055041">
        <w:rPr>
          <w:rFonts w:ascii="Times New Roman" w:eastAsia="Times New Roman" w:hAnsi="Times New Roman" w:cs="Times New Roman"/>
          <w:sz w:val="24"/>
          <w:szCs w:val="24"/>
          <w:lang w:eastAsia="hu-HU"/>
        </w:rPr>
        <w:t>kft.</w:t>
      </w:r>
      <w:proofErr w:type="gramEnd"/>
      <w:r w:rsidRPr="00055041">
        <w:rPr>
          <w:rFonts w:ascii="Times New Roman" w:eastAsia="Times New Roman" w:hAnsi="Times New Roman" w:cs="Times New Roman"/>
          <w:sz w:val="24"/>
          <w:szCs w:val="24"/>
          <w:lang w:eastAsia="hu-HU"/>
        </w:rPr>
        <w:t>, rt. – a Ptk. a vagyon legkisebb mértékét is meghatározza.)</w:t>
      </w:r>
    </w:p>
    <w:p w14:paraId="755C6076" w14:textId="77777777" w:rsidR="00C022AA" w:rsidRPr="00055041"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 önálló jogalany, bizonyos mértékben szükségképp függetlenül alapítóitól, illetve tagjaitól. Ennek a viszonylagos függetlenedésnek eredménye a jogi személy önálló vagyoni felelőssége. A főszabályt a 3:2. § (1) bekezdés fogalmazza meg, nevezetesen, hogy a jogi személy kötelezettségeiért saját vagyonával köteles helytállni, a jogi személy tagjai és alapítói a jogi személy tartozásaiért nem felelnek. Ez természetesen csak a főszabály, a törvény pl. a </w:t>
      </w:r>
      <w:proofErr w:type="spellStart"/>
      <w:r w:rsidRPr="00055041">
        <w:rPr>
          <w:rFonts w:ascii="Times New Roman" w:eastAsia="Times New Roman" w:hAnsi="Times New Roman" w:cs="Times New Roman"/>
          <w:sz w:val="24"/>
          <w:szCs w:val="24"/>
          <w:lang w:eastAsia="hu-HU"/>
        </w:rPr>
        <w:t>kkt</w:t>
      </w:r>
      <w:proofErr w:type="spellEnd"/>
      <w:r w:rsidRPr="00055041">
        <w:rPr>
          <w:rFonts w:ascii="Times New Roman" w:eastAsia="Times New Roman" w:hAnsi="Times New Roman" w:cs="Times New Roman"/>
          <w:sz w:val="24"/>
          <w:szCs w:val="24"/>
          <w:lang w:eastAsia="hu-HU"/>
        </w:rPr>
        <w:t>.-</w:t>
      </w:r>
      <w:proofErr w:type="spellStart"/>
      <w:r w:rsidRPr="00055041">
        <w:rPr>
          <w:rFonts w:ascii="Times New Roman" w:eastAsia="Times New Roman" w:hAnsi="Times New Roman" w:cs="Times New Roman"/>
          <w:sz w:val="24"/>
          <w:szCs w:val="24"/>
          <w:lang w:eastAsia="hu-HU"/>
        </w:rPr>
        <w:t>nál</w:t>
      </w:r>
      <w:proofErr w:type="spellEnd"/>
      <w:r w:rsidRPr="00055041">
        <w:rPr>
          <w:rFonts w:ascii="Times New Roman" w:eastAsia="Times New Roman" w:hAnsi="Times New Roman" w:cs="Times New Roman"/>
          <w:sz w:val="24"/>
          <w:szCs w:val="24"/>
          <w:lang w:eastAsia="hu-HU"/>
        </w:rPr>
        <w:t xml:space="preserve"> előírja a tagok mögöttes felelősségét.</w:t>
      </w:r>
    </w:p>
    <w:p w14:paraId="73ED7764" w14:textId="77777777" w:rsidR="00C022AA" w:rsidRDefault="00C022AA" w:rsidP="00EC10C5">
      <w:pPr>
        <w:spacing w:after="60" w:line="240" w:lineRule="auto"/>
        <w:ind w:firstLine="709"/>
        <w:jc w:val="both"/>
        <w:rPr>
          <w:rFonts w:ascii="Times New Roman" w:eastAsia="Times New Roman" w:hAnsi="Times New Roman" w:cs="Times New Roman"/>
          <w:sz w:val="24"/>
          <w:szCs w:val="24"/>
          <w:lang w:eastAsia="hu-HU"/>
        </w:rPr>
      </w:pPr>
      <w:r w:rsidRPr="00055041">
        <w:rPr>
          <w:rFonts w:ascii="Times New Roman" w:eastAsia="Times New Roman" w:hAnsi="Times New Roman" w:cs="Times New Roman"/>
          <w:sz w:val="24"/>
          <w:szCs w:val="24"/>
          <w:lang w:eastAsia="hu-HU"/>
        </w:rPr>
        <w:t xml:space="preserve">A jogi személy önálló felelőssége alól a Ptk. egy általános kivételt tesz. Nevezetesen a társasági jogból absztrahálva a Ptk. </w:t>
      </w:r>
      <w:r w:rsidRPr="00055041">
        <w:rPr>
          <w:rFonts w:ascii="Times New Roman" w:eastAsia="Times New Roman" w:hAnsi="Times New Roman" w:cs="Times New Roman"/>
          <w:i/>
          <w:sz w:val="24"/>
          <w:szCs w:val="24"/>
          <w:lang w:eastAsia="hu-HU"/>
        </w:rPr>
        <w:t>minden jogi személyre</w:t>
      </w:r>
      <w:r w:rsidRPr="00055041">
        <w:rPr>
          <w:rFonts w:ascii="Times New Roman" w:eastAsia="Times New Roman" w:hAnsi="Times New Roman" w:cs="Times New Roman"/>
          <w:sz w:val="24"/>
          <w:szCs w:val="24"/>
          <w:lang w:eastAsia="hu-HU"/>
        </w:rPr>
        <w:t xml:space="preserve"> (azaz az egyesületre, </w:t>
      </w:r>
      <w:proofErr w:type="spellStart"/>
      <w:r w:rsidRPr="00055041">
        <w:rPr>
          <w:rFonts w:ascii="Times New Roman" w:eastAsia="Times New Roman" w:hAnsi="Times New Roman" w:cs="Times New Roman"/>
          <w:sz w:val="24"/>
          <w:szCs w:val="24"/>
          <w:lang w:eastAsia="hu-HU"/>
        </w:rPr>
        <w:t>alaítványra</w:t>
      </w:r>
      <w:proofErr w:type="spellEnd"/>
      <w:r w:rsidRPr="00055041">
        <w:rPr>
          <w:rFonts w:ascii="Times New Roman" w:eastAsia="Times New Roman" w:hAnsi="Times New Roman" w:cs="Times New Roman"/>
          <w:sz w:val="24"/>
          <w:szCs w:val="24"/>
          <w:lang w:eastAsia="hu-HU"/>
        </w:rPr>
        <w:t xml:space="preserve">, szövetkezetre is) kiterjeszti az ún. </w:t>
      </w:r>
      <w:r w:rsidRPr="00055041">
        <w:rPr>
          <w:rFonts w:ascii="Times New Roman" w:eastAsia="Times New Roman" w:hAnsi="Times New Roman" w:cs="Times New Roman"/>
          <w:i/>
          <w:sz w:val="24"/>
          <w:szCs w:val="24"/>
          <w:lang w:eastAsia="hu-HU"/>
        </w:rPr>
        <w:t>felelősségátvitel intézményét</w:t>
      </w:r>
      <w:r w:rsidRPr="00055041">
        <w:rPr>
          <w:rFonts w:ascii="Times New Roman" w:eastAsia="Times New Roman" w:hAnsi="Times New Roman" w:cs="Times New Roman"/>
          <w:sz w:val="24"/>
          <w:szCs w:val="24"/>
          <w:lang w:eastAsia="hu-HU"/>
        </w:rPr>
        <w:t>. Ha ugyanis a jogi személy tagja vagy alapítója a korlátolt felelősségével visszaélt és emiatt a jogi személy jogutód nélküli megszűnéskor kielégítetlenül maradt hitelezői követelések maradtak fenn (felszámolás), e tartozásokért az alapító (tag) köteles helytállni [3:2. § (2) bekezdés] (</w:t>
      </w:r>
      <w:r w:rsidRPr="00055041">
        <w:rPr>
          <w:rFonts w:ascii="Times New Roman" w:eastAsia="Times New Roman" w:hAnsi="Times New Roman" w:cs="Times New Roman"/>
          <w:i/>
          <w:sz w:val="24"/>
          <w:szCs w:val="24"/>
          <w:lang w:eastAsia="hu-HU"/>
        </w:rPr>
        <w:t>felelősségátvitel</w:t>
      </w:r>
      <w:r w:rsidRPr="00055041">
        <w:rPr>
          <w:rFonts w:ascii="Times New Roman" w:eastAsia="Times New Roman" w:hAnsi="Times New Roman" w:cs="Times New Roman"/>
          <w:sz w:val="24"/>
          <w:szCs w:val="24"/>
          <w:lang w:eastAsia="hu-HU"/>
        </w:rPr>
        <w:t xml:space="preserve">, vagy a korlátolt felelősség áttörése, azaz </w:t>
      </w:r>
      <w:r w:rsidRPr="00055041">
        <w:rPr>
          <w:rFonts w:ascii="Times New Roman" w:eastAsia="Times New Roman" w:hAnsi="Times New Roman" w:cs="Times New Roman"/>
          <w:i/>
          <w:sz w:val="24"/>
          <w:szCs w:val="24"/>
          <w:lang w:eastAsia="hu-HU"/>
        </w:rPr>
        <w:t>felelősség áttörés</w:t>
      </w:r>
      <w:r w:rsidRPr="00055041">
        <w:rPr>
          <w:rFonts w:ascii="Times New Roman" w:eastAsia="Times New Roman" w:hAnsi="Times New Roman" w:cs="Times New Roman"/>
          <w:sz w:val="24"/>
          <w:szCs w:val="24"/>
          <w:lang w:eastAsia="hu-HU"/>
        </w:rPr>
        <w:t xml:space="preserve">). </w:t>
      </w:r>
    </w:p>
    <w:p w14:paraId="780A2026" w14:textId="77777777" w:rsidR="00CC5656" w:rsidRPr="00CC5656" w:rsidRDefault="00CC5656" w:rsidP="00EC10C5">
      <w:pPr>
        <w:pStyle w:val="Cmsor1"/>
        <w:ind w:firstLine="709"/>
        <w:jc w:val="both"/>
        <w:rPr>
          <w:rFonts w:ascii="Times New Roman" w:hAnsi="Times New Roman" w:cs="Times New Roman"/>
          <w:b/>
          <w:sz w:val="24"/>
          <w:szCs w:val="24"/>
        </w:rPr>
      </w:pPr>
      <w:r w:rsidRPr="00CC5656">
        <w:rPr>
          <w:rFonts w:ascii="Times New Roman" w:hAnsi="Times New Roman" w:cs="Times New Roman"/>
          <w:b/>
          <w:sz w:val="24"/>
          <w:szCs w:val="24"/>
        </w:rPr>
        <w:lastRenderedPageBreak/>
        <w:t xml:space="preserve">2. A gazdasági társaságok </w:t>
      </w:r>
      <w:proofErr w:type="spellStart"/>
      <w:r w:rsidRPr="00CC5656">
        <w:rPr>
          <w:rFonts w:ascii="Times New Roman" w:hAnsi="Times New Roman" w:cs="Times New Roman"/>
          <w:b/>
          <w:sz w:val="24"/>
          <w:szCs w:val="24"/>
        </w:rPr>
        <w:t>létszakai</w:t>
      </w:r>
      <w:proofErr w:type="spellEnd"/>
      <w:r>
        <w:rPr>
          <w:rFonts w:ascii="Times New Roman" w:hAnsi="Times New Roman" w:cs="Times New Roman"/>
          <w:b/>
          <w:sz w:val="24"/>
          <w:szCs w:val="24"/>
        </w:rPr>
        <w:t xml:space="preserve"> a társasági jogi szabályokban</w:t>
      </w:r>
      <w:r w:rsidRPr="00CC5656">
        <w:rPr>
          <w:rFonts w:ascii="Times New Roman" w:hAnsi="Times New Roman" w:cs="Times New Roman"/>
          <w:b/>
          <w:sz w:val="24"/>
          <w:szCs w:val="24"/>
        </w:rPr>
        <w:t xml:space="preserve"> </w:t>
      </w:r>
    </w:p>
    <w:p w14:paraId="37805681" w14:textId="77777777" w:rsidR="00CC5656" w:rsidRPr="00CC5656" w:rsidRDefault="00CC5656" w:rsidP="00EC10C5">
      <w:pPr>
        <w:pStyle w:val="Cmsor2"/>
        <w:ind w:firstLine="709"/>
        <w:jc w:val="both"/>
        <w:rPr>
          <w:rFonts w:ascii="Times New Roman" w:hAnsi="Times New Roman" w:cs="Times New Roman"/>
          <w:b/>
          <w:sz w:val="24"/>
          <w:szCs w:val="24"/>
        </w:rPr>
      </w:pPr>
      <w:r w:rsidRPr="00CC5656">
        <w:rPr>
          <w:rFonts w:ascii="Times New Roman" w:hAnsi="Times New Roman" w:cs="Times New Roman"/>
          <w:b/>
          <w:sz w:val="24"/>
          <w:szCs w:val="24"/>
        </w:rPr>
        <w:t>2.1. Gazdasági társaság</w:t>
      </w:r>
      <w:r>
        <w:rPr>
          <w:rFonts w:ascii="Times New Roman" w:hAnsi="Times New Roman" w:cs="Times New Roman"/>
          <w:b/>
          <w:sz w:val="24"/>
          <w:szCs w:val="24"/>
        </w:rPr>
        <w:t xml:space="preserve">ok </w:t>
      </w:r>
      <w:r w:rsidRPr="00CC5656">
        <w:rPr>
          <w:rFonts w:ascii="Times New Roman" w:hAnsi="Times New Roman" w:cs="Times New Roman"/>
          <w:b/>
          <w:sz w:val="24"/>
          <w:szCs w:val="24"/>
        </w:rPr>
        <w:t>fogalmi ismérvei, alapítása</w:t>
      </w:r>
    </w:p>
    <w:p w14:paraId="518360B7" w14:textId="77777777" w:rsidR="00CC5656" w:rsidRPr="00CC5656" w:rsidRDefault="00CC5656" w:rsidP="00EC10C5">
      <w:pPr>
        <w:spacing w:after="60" w:line="240" w:lineRule="auto"/>
        <w:ind w:left="707" w:firstLine="709"/>
        <w:jc w:val="both"/>
        <w:rPr>
          <w:rFonts w:ascii="Times New Roman" w:hAnsi="Times New Roman" w:cs="Times New Roman"/>
          <w:i/>
          <w:sz w:val="24"/>
          <w:szCs w:val="24"/>
        </w:rPr>
      </w:pPr>
      <w:r w:rsidRPr="00CC5656">
        <w:rPr>
          <w:rFonts w:ascii="Times New Roman" w:hAnsi="Times New Roman" w:cs="Times New Roman"/>
          <w:i/>
          <w:sz w:val="24"/>
          <w:szCs w:val="24"/>
        </w:rPr>
        <w:t>kapcs</w:t>
      </w:r>
      <w:r>
        <w:rPr>
          <w:rFonts w:ascii="Times New Roman" w:hAnsi="Times New Roman" w:cs="Times New Roman"/>
          <w:i/>
          <w:sz w:val="24"/>
          <w:szCs w:val="24"/>
        </w:rPr>
        <w:t>olódó kivonatos jegyzetrészek: C.1., D</w:t>
      </w:r>
      <w:r w:rsidRPr="00CC5656">
        <w:rPr>
          <w:rFonts w:ascii="Times New Roman" w:hAnsi="Times New Roman" w:cs="Times New Roman"/>
          <w:i/>
          <w:sz w:val="24"/>
          <w:szCs w:val="24"/>
        </w:rPr>
        <w:t>.1.</w:t>
      </w:r>
      <w:r>
        <w:rPr>
          <w:rFonts w:ascii="Times New Roman" w:hAnsi="Times New Roman" w:cs="Times New Roman"/>
          <w:i/>
          <w:sz w:val="24"/>
          <w:szCs w:val="24"/>
        </w:rPr>
        <w:t>, D</w:t>
      </w:r>
      <w:r w:rsidRPr="00CC5656">
        <w:rPr>
          <w:rFonts w:ascii="Times New Roman" w:hAnsi="Times New Roman" w:cs="Times New Roman"/>
          <w:i/>
          <w:sz w:val="24"/>
          <w:szCs w:val="24"/>
        </w:rPr>
        <w:t>.2.</w:t>
      </w:r>
    </w:p>
    <w:p w14:paraId="38221BC1" w14:textId="77777777" w:rsidR="00CC5656" w:rsidRPr="00CC5656" w:rsidRDefault="00CC5656" w:rsidP="00EC10C5">
      <w:pPr>
        <w:pStyle w:val="Cmsor2"/>
        <w:ind w:firstLine="709"/>
        <w:jc w:val="both"/>
        <w:rPr>
          <w:rFonts w:ascii="Times New Roman" w:hAnsi="Times New Roman" w:cs="Times New Roman"/>
          <w:b/>
          <w:sz w:val="24"/>
          <w:szCs w:val="24"/>
        </w:rPr>
      </w:pPr>
      <w:r w:rsidRPr="00CC5656">
        <w:rPr>
          <w:rFonts w:ascii="Times New Roman" w:hAnsi="Times New Roman" w:cs="Times New Roman"/>
          <w:b/>
          <w:sz w:val="24"/>
          <w:szCs w:val="24"/>
        </w:rPr>
        <w:t>2.2. Gazdasági társaság megszűnésének esetei, a társaságok jogutód nélküli megszűnése</w:t>
      </w:r>
    </w:p>
    <w:p w14:paraId="0F8F9BB3" w14:textId="77777777" w:rsidR="00CC5656" w:rsidRPr="00CC5656" w:rsidRDefault="00CC5656" w:rsidP="00EC10C5">
      <w:pPr>
        <w:pStyle w:val="Listaszerbekezds"/>
        <w:spacing w:after="60" w:line="240" w:lineRule="auto"/>
        <w:ind w:firstLine="709"/>
        <w:rPr>
          <w:rFonts w:cs="Times New Roman"/>
          <w:i/>
          <w:szCs w:val="24"/>
        </w:rPr>
      </w:pPr>
      <w:r w:rsidRPr="00CC5656">
        <w:rPr>
          <w:rFonts w:cs="Times New Roman"/>
          <w:i/>
          <w:szCs w:val="24"/>
        </w:rPr>
        <w:t>kapcso</w:t>
      </w:r>
      <w:r>
        <w:rPr>
          <w:rFonts w:cs="Times New Roman"/>
          <w:i/>
          <w:szCs w:val="24"/>
        </w:rPr>
        <w:t>lódó kivonatos jegyzetrészek:  D</w:t>
      </w:r>
      <w:r w:rsidRPr="00CC5656">
        <w:rPr>
          <w:rFonts w:cs="Times New Roman"/>
          <w:i/>
          <w:szCs w:val="24"/>
        </w:rPr>
        <w:t>.4.</w:t>
      </w:r>
    </w:p>
    <w:p w14:paraId="1354DAAD" w14:textId="77777777" w:rsidR="00CC5656" w:rsidRPr="00CC5656" w:rsidRDefault="00CC5656" w:rsidP="00EC10C5">
      <w:pPr>
        <w:pStyle w:val="Cmsor2"/>
        <w:ind w:firstLine="709"/>
        <w:jc w:val="both"/>
        <w:rPr>
          <w:rFonts w:ascii="Times New Roman" w:hAnsi="Times New Roman" w:cs="Times New Roman"/>
          <w:b/>
          <w:sz w:val="24"/>
          <w:szCs w:val="24"/>
        </w:rPr>
      </w:pPr>
      <w:r w:rsidRPr="00CC5656">
        <w:rPr>
          <w:rFonts w:ascii="Times New Roman" w:hAnsi="Times New Roman" w:cs="Times New Roman"/>
          <w:b/>
          <w:sz w:val="24"/>
          <w:szCs w:val="24"/>
        </w:rPr>
        <w:t xml:space="preserve">2.3. Státuszváltások a társasági jogban (átalakulás – formaváltás, egyesülés, szétválás) </w:t>
      </w:r>
    </w:p>
    <w:p w14:paraId="3955DE9D" w14:textId="77777777" w:rsidR="00CC5656" w:rsidRPr="00CC5656" w:rsidRDefault="00CC5656" w:rsidP="00EC10C5">
      <w:pPr>
        <w:pStyle w:val="Listaszerbekezds"/>
        <w:spacing w:after="60" w:line="240" w:lineRule="auto"/>
        <w:ind w:firstLine="709"/>
        <w:rPr>
          <w:rFonts w:cs="Times New Roman"/>
          <w:i/>
          <w:szCs w:val="24"/>
        </w:rPr>
      </w:pPr>
      <w:r w:rsidRPr="00CC5656">
        <w:rPr>
          <w:rFonts w:cs="Times New Roman"/>
          <w:i/>
          <w:szCs w:val="24"/>
        </w:rPr>
        <w:t xml:space="preserve">kapcsolódó kivonatos </w:t>
      </w:r>
      <w:proofErr w:type="gramStart"/>
      <w:r w:rsidRPr="00CC5656">
        <w:rPr>
          <w:rFonts w:cs="Times New Roman"/>
          <w:i/>
          <w:szCs w:val="24"/>
        </w:rPr>
        <w:t xml:space="preserve">jegyzetrészek:  </w:t>
      </w:r>
      <w:r>
        <w:rPr>
          <w:rFonts w:cs="Times New Roman"/>
          <w:i/>
          <w:szCs w:val="24"/>
        </w:rPr>
        <w:t>D</w:t>
      </w:r>
      <w:r w:rsidRPr="00CC5656">
        <w:rPr>
          <w:rFonts w:cs="Times New Roman"/>
          <w:i/>
          <w:szCs w:val="24"/>
        </w:rPr>
        <w:t>.</w:t>
      </w:r>
      <w:proofErr w:type="gramEnd"/>
      <w:r w:rsidRPr="00CC5656">
        <w:rPr>
          <w:rFonts w:cs="Times New Roman"/>
          <w:i/>
          <w:szCs w:val="24"/>
        </w:rPr>
        <w:t xml:space="preserve"> bevezető szöveg, </w:t>
      </w:r>
      <w:r>
        <w:rPr>
          <w:rFonts w:cs="Times New Roman"/>
          <w:i/>
          <w:szCs w:val="24"/>
        </w:rPr>
        <w:t>a D</w:t>
      </w:r>
      <w:r w:rsidRPr="00CC5656">
        <w:rPr>
          <w:rFonts w:cs="Times New Roman"/>
          <w:i/>
          <w:szCs w:val="24"/>
        </w:rPr>
        <w:t xml:space="preserve">.1. alpontig, </w:t>
      </w:r>
      <w:r>
        <w:rPr>
          <w:rFonts w:cs="Times New Roman"/>
          <w:i/>
          <w:szCs w:val="24"/>
        </w:rPr>
        <w:t>D</w:t>
      </w:r>
      <w:r w:rsidRPr="00CC5656">
        <w:rPr>
          <w:rFonts w:cs="Times New Roman"/>
          <w:i/>
          <w:szCs w:val="24"/>
        </w:rPr>
        <w:t xml:space="preserve">.3. </w:t>
      </w:r>
    </w:p>
    <w:p w14:paraId="2E49F69E" w14:textId="77777777" w:rsidR="00CC5656" w:rsidRDefault="00CC5656" w:rsidP="00EC10C5">
      <w:pPr>
        <w:pStyle w:val="Listaszerbekezds"/>
        <w:spacing w:after="60" w:line="240" w:lineRule="auto"/>
        <w:ind w:firstLine="709"/>
        <w:rPr>
          <w:rFonts w:cs="Times New Roman"/>
          <w:szCs w:val="24"/>
        </w:rPr>
      </w:pPr>
    </w:p>
    <w:p w14:paraId="6686CD1C" w14:textId="77777777" w:rsidR="00CC5656" w:rsidRPr="00CC5656" w:rsidRDefault="00CC5656" w:rsidP="00EC10C5">
      <w:pPr>
        <w:pStyle w:val="Stlus3"/>
      </w:pPr>
      <w:bookmarkStart w:id="297" w:name="_Toc2761107"/>
      <w:bookmarkStart w:id="298" w:name="_Toc13138765"/>
      <w:r w:rsidRPr="00CC5656">
        <w:t>C.1. Általános rendelkezések</w:t>
      </w:r>
      <w:bookmarkEnd w:id="297"/>
      <w:bookmarkEnd w:id="298"/>
    </w:p>
    <w:p w14:paraId="5C779079"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Az új Ptk. a gazdasági társaságok számos szabályát kiterjesztette a jogi személyek teljes körére, ezért a Ptk.-ban a társaságokra vonatkozó általános rendelkezések a korábbiakhoz képest jelentősen csökkentek. A jogalkalmazás során tehát a továbbiakban a társasági jogban a jogi személyek közös szabályait és a társaságok közös szabályait együttesen kell alkalmazni. (Az általános szabályokat akkor kell alkalmazni, ha a törvény az egyes társasági formáknál eltérően nem rendelkezik.)</w:t>
      </w:r>
    </w:p>
    <w:p w14:paraId="71EE61F9"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61317C80" w14:textId="77777777" w:rsidR="00CC5656" w:rsidRPr="00664213" w:rsidRDefault="00CC5656" w:rsidP="00EC10C5">
      <w:pPr>
        <w:pStyle w:val="Stlus1"/>
        <w:rPr>
          <w:rFonts w:eastAsia="Times New Roman"/>
          <w:lang w:eastAsia="hu-HU"/>
        </w:rPr>
      </w:pPr>
      <w:bookmarkStart w:id="299" w:name="_Toc2761108"/>
      <w:bookmarkStart w:id="300" w:name="_Toc13138766"/>
      <w:r w:rsidRPr="00664213">
        <w:rPr>
          <w:rFonts w:eastAsia="Times New Roman"/>
          <w:lang w:eastAsia="hu-HU"/>
        </w:rPr>
        <w:t>A gazdasági társaság fogalmi ismérvei</w:t>
      </w:r>
      <w:bookmarkEnd w:id="299"/>
      <w:bookmarkEnd w:id="300"/>
    </w:p>
    <w:p w14:paraId="42821BD5"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Eddig a három Gt. (1988., 1997, 2006) kifejezett társasági definíciót nem tartalmazott. A Ptk. most kifejezetten meghatározta a gazdasági társaság ismérveit.</w:t>
      </w:r>
    </w:p>
    <w:p w14:paraId="14729259"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Ptk. 3:88. § a gazdasági társaságot úgy definiálja, hogy a társaság</w:t>
      </w:r>
    </w:p>
    <w:p w14:paraId="0A651D41" w14:textId="77777777" w:rsidR="00CC5656" w:rsidRPr="00664213" w:rsidRDefault="00CC5656" w:rsidP="00EC10C5">
      <w:pPr>
        <w:pStyle w:val="Stlus2"/>
        <w:rPr>
          <w:rFonts w:eastAsia="Times New Roman"/>
          <w:lang w:eastAsia="hu-HU"/>
        </w:rPr>
      </w:pPr>
      <w:r>
        <w:rPr>
          <w:rFonts w:eastAsia="Times New Roman"/>
          <w:lang w:eastAsia="hu-HU"/>
        </w:rPr>
        <w:t>ü</w:t>
      </w:r>
      <w:r w:rsidRPr="00664213">
        <w:rPr>
          <w:rFonts w:eastAsia="Times New Roman"/>
          <w:lang w:eastAsia="hu-HU"/>
        </w:rPr>
        <w:t>zletszerű közös gazdasági tevékenység folytatására</w:t>
      </w:r>
    </w:p>
    <w:p w14:paraId="641FED93" w14:textId="77777777" w:rsidR="00CC5656" w:rsidRPr="00664213" w:rsidRDefault="00CC5656" w:rsidP="00EC10C5">
      <w:pPr>
        <w:pStyle w:val="Stlus2"/>
        <w:rPr>
          <w:rFonts w:eastAsia="Times New Roman"/>
          <w:lang w:eastAsia="hu-HU"/>
        </w:rPr>
      </w:pPr>
      <w:r w:rsidRPr="00664213">
        <w:rPr>
          <w:rFonts w:eastAsia="Times New Roman"/>
          <w:lang w:eastAsia="hu-HU"/>
        </w:rPr>
        <w:t>a tagok vagyoni hozzájárulásával létrehozott</w:t>
      </w:r>
    </w:p>
    <w:p w14:paraId="37EA0BA0" w14:textId="77777777" w:rsidR="00CC5656" w:rsidRPr="00664213" w:rsidRDefault="00CC5656" w:rsidP="00EC10C5">
      <w:pPr>
        <w:pStyle w:val="Stlus2"/>
        <w:rPr>
          <w:rFonts w:eastAsia="Times New Roman"/>
          <w:lang w:eastAsia="hu-HU"/>
        </w:rPr>
      </w:pPr>
      <w:r w:rsidRPr="00664213">
        <w:rPr>
          <w:rFonts w:eastAsia="Times New Roman"/>
          <w:lang w:eastAsia="hu-HU"/>
        </w:rPr>
        <w:t xml:space="preserve">jogi </w:t>
      </w:r>
      <w:proofErr w:type="spellStart"/>
      <w:r w:rsidRPr="00664213">
        <w:rPr>
          <w:rFonts w:eastAsia="Times New Roman"/>
          <w:lang w:eastAsia="hu-HU"/>
        </w:rPr>
        <w:t>személységgel</w:t>
      </w:r>
      <w:proofErr w:type="spellEnd"/>
      <w:r w:rsidRPr="00664213">
        <w:rPr>
          <w:rFonts w:eastAsia="Times New Roman"/>
          <w:lang w:eastAsia="hu-HU"/>
        </w:rPr>
        <w:t xml:space="preserve"> rendelkező </w:t>
      </w:r>
      <w:r w:rsidRPr="00664213">
        <w:rPr>
          <w:rFonts w:eastAsia="Times New Roman"/>
          <w:i/>
          <w:lang w:eastAsia="hu-HU"/>
        </w:rPr>
        <w:t>vállalkozás</w:t>
      </w:r>
      <w:r w:rsidRPr="00664213">
        <w:rPr>
          <w:rFonts w:eastAsia="Times New Roman"/>
          <w:lang w:eastAsia="hu-HU"/>
        </w:rPr>
        <w:t xml:space="preserve"> </w:t>
      </w:r>
    </w:p>
    <w:p w14:paraId="28CCD032" w14:textId="77777777" w:rsidR="00CC5656" w:rsidRPr="00664213" w:rsidRDefault="00CC5656" w:rsidP="00EC10C5">
      <w:pPr>
        <w:tabs>
          <w:tab w:val="left" w:pos="708"/>
          <w:tab w:val="left" w:pos="1416"/>
          <w:tab w:val="left" w:pos="2124"/>
          <w:tab w:val="left" w:pos="2832"/>
          <w:tab w:val="left" w:pos="3540"/>
          <w:tab w:val="left" w:pos="4248"/>
          <w:tab w:val="left" w:pos="4956"/>
          <w:tab w:val="left" w:pos="5640"/>
        </w:tabs>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gazdasági társaságokban a tagok a vállalkozásnak, az üzletszerű gazdálkodásnak nyereségéből közösen részesednek és a veszteséget közösen viselik. Főszabályként a tagokat a nyereség </w:t>
      </w:r>
      <w:r w:rsidRPr="00664213">
        <w:rPr>
          <w:rFonts w:ascii="Times New Roman" w:eastAsia="Times New Roman" w:hAnsi="Times New Roman" w:cs="Times New Roman"/>
          <w:i/>
          <w:sz w:val="24"/>
          <w:szCs w:val="24"/>
          <w:lang w:eastAsia="hu-HU"/>
        </w:rPr>
        <w:t>vagyoni hozzájárulásuk arányában</w:t>
      </w:r>
      <w:r w:rsidRPr="00664213">
        <w:rPr>
          <w:rFonts w:ascii="Times New Roman" w:eastAsia="Times New Roman" w:hAnsi="Times New Roman" w:cs="Times New Roman"/>
          <w:sz w:val="24"/>
          <w:szCs w:val="24"/>
          <w:lang w:eastAsia="hu-HU"/>
        </w:rPr>
        <w:t xml:space="preserve"> illeti meg és a veszteséget is ilyen arányban viselik – a társulók azonban ettől eltérően is megállapodhatnak. Semmis a társasági szerződés (alapszabály, alapító okirat) azon rendelkezése, amely valamely tagot a nyereségből vagy a veszteség viseléséből teljesen kizár.</w:t>
      </w:r>
    </w:p>
    <w:p w14:paraId="545BC430" w14:textId="77777777" w:rsidR="00CC5656" w:rsidRPr="00664213" w:rsidRDefault="00CC5656" w:rsidP="00EC10C5">
      <w:pPr>
        <w:tabs>
          <w:tab w:val="left" w:pos="708"/>
          <w:tab w:val="left" w:pos="1416"/>
          <w:tab w:val="left" w:pos="2124"/>
          <w:tab w:val="left" w:pos="2832"/>
          <w:tab w:val="left" w:pos="3540"/>
          <w:tab w:val="left" w:pos="4248"/>
          <w:tab w:val="left" w:pos="4956"/>
          <w:tab w:val="left" w:pos="5640"/>
        </w:tabs>
        <w:spacing w:after="60" w:line="240" w:lineRule="auto"/>
        <w:ind w:firstLine="709"/>
        <w:jc w:val="both"/>
        <w:rPr>
          <w:rFonts w:ascii="Times New Roman" w:eastAsia="Times New Roman" w:hAnsi="Times New Roman" w:cs="Times New Roman"/>
          <w:sz w:val="24"/>
          <w:szCs w:val="24"/>
          <w:lang w:eastAsia="hu-HU"/>
        </w:rPr>
      </w:pPr>
    </w:p>
    <w:p w14:paraId="5F823DDA" w14:textId="77777777" w:rsidR="00CC5656" w:rsidRPr="00664213" w:rsidRDefault="00CC5656" w:rsidP="00EC10C5">
      <w:pPr>
        <w:spacing w:after="60" w:line="240" w:lineRule="auto"/>
        <w:ind w:firstLine="709"/>
        <w:rPr>
          <w:rFonts w:ascii="Times New Roman" w:hAnsi="Times New Roman" w:cs="Times New Roman"/>
          <w:sz w:val="24"/>
          <w:szCs w:val="24"/>
        </w:rPr>
      </w:pPr>
    </w:p>
    <w:p w14:paraId="228BBAED"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Gazdasági társaságnak – kivételes, törvényben szabályozott eseteket leszámítva (ld. a kétszemélyes közkereseti vagy betéti társaságokból az egyik tag átmeneti kiesését) – </w:t>
      </w:r>
      <w:r w:rsidRPr="00664213">
        <w:rPr>
          <w:rFonts w:ascii="Times New Roman" w:eastAsia="Times New Roman" w:hAnsi="Times New Roman" w:cs="Times New Roman"/>
          <w:i/>
          <w:sz w:val="24"/>
          <w:szCs w:val="24"/>
          <w:lang w:eastAsia="hu-HU"/>
        </w:rPr>
        <w:t>legalább két taggal</w:t>
      </w:r>
      <w:r w:rsidRPr="00664213">
        <w:rPr>
          <w:rFonts w:ascii="Times New Roman" w:eastAsia="Times New Roman" w:hAnsi="Times New Roman" w:cs="Times New Roman"/>
          <w:sz w:val="24"/>
          <w:szCs w:val="24"/>
          <w:lang w:eastAsia="hu-HU"/>
        </w:rPr>
        <w:t xml:space="preserve"> kell rendelkeznie. </w:t>
      </w:r>
      <w:r w:rsidRPr="00664213">
        <w:rPr>
          <w:rFonts w:ascii="Times New Roman" w:eastAsia="Times New Roman" w:hAnsi="Times New Roman" w:cs="Times New Roman"/>
          <w:i/>
          <w:sz w:val="24"/>
          <w:szCs w:val="24"/>
          <w:lang w:eastAsia="hu-HU"/>
        </w:rPr>
        <w:t>Egyszemélyes társaság</w:t>
      </w:r>
      <w:r w:rsidRPr="00664213">
        <w:rPr>
          <w:rFonts w:ascii="Times New Roman" w:eastAsia="Times New Roman" w:hAnsi="Times New Roman" w:cs="Times New Roman"/>
          <w:sz w:val="24"/>
          <w:szCs w:val="24"/>
          <w:lang w:eastAsia="hu-HU"/>
        </w:rPr>
        <w:t xml:space="preserve">ot – 1988 óta – is lehetővé tesz a magyar jog a korlátolt felelősségű társaság és a részvénytársaság esetében. (Az egyszemélyes társaságokra a Ptk. a kft.-re, illetve az rt.-re vonatkozó Címében az általános kft., illetve rt. szabályoktól eltérő rendelkezéseket is megállapít – főleg hitelezővédelmi célból). Természetesen az egyéni vállalkozónak nem kell feltétlenül – megszabott minimáltőkével – egyszemélyes kft.-t vagy rt.-t alapítania, hanem az </w:t>
      </w:r>
      <w:r w:rsidRPr="00664213">
        <w:rPr>
          <w:rFonts w:ascii="Times New Roman" w:eastAsia="Times New Roman" w:hAnsi="Times New Roman" w:cs="Times New Roman"/>
          <w:i/>
          <w:sz w:val="24"/>
          <w:szCs w:val="24"/>
          <w:lang w:eastAsia="hu-HU"/>
        </w:rPr>
        <w:t xml:space="preserve">egyéni vállalkozókról szóló </w:t>
      </w:r>
      <w:r w:rsidRPr="00664213">
        <w:rPr>
          <w:rFonts w:ascii="Times New Roman" w:eastAsia="Times New Roman" w:hAnsi="Times New Roman" w:cs="Times New Roman"/>
          <w:sz w:val="24"/>
          <w:szCs w:val="24"/>
          <w:lang w:eastAsia="hu-HU"/>
        </w:rPr>
        <w:t>külön</w:t>
      </w:r>
      <w:r w:rsidRPr="00664213">
        <w:rPr>
          <w:rFonts w:ascii="Times New Roman" w:eastAsia="Times New Roman" w:hAnsi="Times New Roman" w:cs="Times New Roman"/>
          <w:i/>
          <w:sz w:val="24"/>
          <w:szCs w:val="24"/>
          <w:lang w:eastAsia="hu-HU"/>
        </w:rPr>
        <w:t xml:space="preserve"> törvény</w:t>
      </w:r>
      <w:r w:rsidRPr="00664213">
        <w:rPr>
          <w:rFonts w:ascii="Times New Roman" w:eastAsia="Times New Roman" w:hAnsi="Times New Roman" w:cs="Times New Roman"/>
          <w:sz w:val="24"/>
          <w:szCs w:val="24"/>
          <w:vertAlign w:val="superscript"/>
          <w:lang w:eastAsia="hu-HU"/>
        </w:rPr>
        <w:footnoteReference w:id="6"/>
      </w:r>
      <w:r w:rsidRPr="00664213">
        <w:rPr>
          <w:rFonts w:ascii="Times New Roman" w:eastAsia="Times New Roman" w:hAnsi="Times New Roman" w:cs="Times New Roman"/>
          <w:sz w:val="24"/>
          <w:szCs w:val="24"/>
          <w:lang w:eastAsia="hu-HU"/>
        </w:rPr>
        <w:t xml:space="preserve"> szerint „egyszerű” </w:t>
      </w:r>
      <w:r w:rsidRPr="00664213">
        <w:rPr>
          <w:rFonts w:ascii="Times New Roman" w:eastAsia="Times New Roman" w:hAnsi="Times New Roman" w:cs="Times New Roman"/>
          <w:i/>
          <w:sz w:val="24"/>
          <w:szCs w:val="24"/>
          <w:lang w:eastAsia="hu-HU"/>
        </w:rPr>
        <w:t>egyéni vállalkozó</w:t>
      </w:r>
      <w:r w:rsidRPr="00664213">
        <w:rPr>
          <w:rFonts w:ascii="Times New Roman" w:eastAsia="Times New Roman" w:hAnsi="Times New Roman" w:cs="Times New Roman"/>
          <w:sz w:val="24"/>
          <w:szCs w:val="24"/>
          <w:lang w:eastAsia="hu-HU"/>
        </w:rPr>
        <w:t xml:space="preserve">ként vagy </w:t>
      </w:r>
      <w:r w:rsidRPr="00664213">
        <w:rPr>
          <w:rFonts w:ascii="Times New Roman" w:eastAsia="Times New Roman" w:hAnsi="Times New Roman" w:cs="Times New Roman"/>
          <w:i/>
          <w:sz w:val="24"/>
          <w:szCs w:val="24"/>
          <w:lang w:eastAsia="hu-HU"/>
        </w:rPr>
        <w:t>egyéni cég</w:t>
      </w:r>
      <w:r w:rsidRPr="00664213">
        <w:rPr>
          <w:rFonts w:ascii="Times New Roman" w:eastAsia="Times New Roman" w:hAnsi="Times New Roman" w:cs="Times New Roman"/>
          <w:sz w:val="24"/>
          <w:szCs w:val="24"/>
          <w:lang w:eastAsia="hu-HU"/>
        </w:rPr>
        <w:t xml:space="preserve">ként is kifejthet gazdasági tevékenységet. Utóbbi esetben az egyéni vállalkozás </w:t>
      </w:r>
      <w:r w:rsidRPr="00664213">
        <w:rPr>
          <w:rFonts w:ascii="Times New Roman" w:eastAsia="Times New Roman" w:hAnsi="Times New Roman" w:cs="Times New Roman"/>
          <w:i/>
          <w:sz w:val="24"/>
          <w:szCs w:val="24"/>
          <w:lang w:eastAsia="hu-HU"/>
        </w:rPr>
        <w:t>cégnevet kap</w:t>
      </w:r>
      <w:r w:rsidRPr="00664213">
        <w:rPr>
          <w:rFonts w:ascii="Times New Roman" w:eastAsia="Times New Roman" w:hAnsi="Times New Roman" w:cs="Times New Roman"/>
          <w:sz w:val="24"/>
          <w:szCs w:val="24"/>
          <w:lang w:eastAsia="hu-HU"/>
        </w:rPr>
        <w:t xml:space="preserve"> és </w:t>
      </w:r>
      <w:r w:rsidRPr="00664213">
        <w:rPr>
          <w:rFonts w:ascii="Times New Roman" w:eastAsia="Times New Roman" w:hAnsi="Times New Roman" w:cs="Times New Roman"/>
          <w:i/>
          <w:sz w:val="24"/>
          <w:szCs w:val="24"/>
          <w:lang w:eastAsia="hu-HU"/>
        </w:rPr>
        <w:t>bejegyzik a cégjegyzékbe</w:t>
      </w:r>
      <w:r w:rsidRPr="00664213">
        <w:rPr>
          <w:rFonts w:ascii="Times New Roman" w:eastAsia="Times New Roman" w:hAnsi="Times New Roman" w:cs="Times New Roman"/>
          <w:sz w:val="24"/>
          <w:szCs w:val="24"/>
          <w:lang w:eastAsia="hu-HU"/>
        </w:rPr>
        <w:t>.</w:t>
      </w:r>
    </w:p>
    <w:p w14:paraId="3202FC2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lastRenderedPageBreak/>
        <w:t xml:space="preserve">Hitelezővédelmi okokból a gazdasági társaságban való részvételre nézve a Ptk. – a korábbi Gt.-kkel lényegében azonosan – megállapít néhány </w:t>
      </w:r>
      <w:r w:rsidRPr="00664213">
        <w:rPr>
          <w:rFonts w:ascii="Times New Roman" w:eastAsia="Times New Roman" w:hAnsi="Times New Roman" w:cs="Times New Roman"/>
          <w:i/>
          <w:sz w:val="24"/>
          <w:szCs w:val="24"/>
          <w:lang w:eastAsia="hu-HU"/>
        </w:rPr>
        <w:t>korlátozást (társulási korlátok)</w:t>
      </w:r>
      <w:r w:rsidRPr="00664213">
        <w:rPr>
          <w:rFonts w:ascii="Times New Roman" w:eastAsia="Times New Roman" w:hAnsi="Times New Roman" w:cs="Times New Roman"/>
          <w:sz w:val="24"/>
          <w:szCs w:val="24"/>
          <w:lang w:eastAsia="hu-HU"/>
        </w:rPr>
        <w:t>:</w:t>
      </w:r>
    </w:p>
    <w:p w14:paraId="378F8CA7" w14:textId="77777777" w:rsidR="00CC5656" w:rsidRPr="00664213" w:rsidRDefault="00CC5656" w:rsidP="00EC10C5">
      <w:pPr>
        <w:pStyle w:val="Stlus2"/>
        <w:rPr>
          <w:rFonts w:eastAsia="Times New Roman"/>
          <w:lang w:eastAsia="hu-HU"/>
        </w:rPr>
      </w:pPr>
      <w:r w:rsidRPr="00664213">
        <w:rPr>
          <w:rFonts w:eastAsia="Times New Roman"/>
          <w:lang w:eastAsia="hu-HU"/>
        </w:rPr>
        <w:t>természetes személy egyidejűleg csak egy társaságban lehet a társaság korlátlanul felelős tagja (több kft.-ben és rt.-ben viszont a korlátozott felelősség miatt tag lehet, hasonlóan több bt.-ben is lehet kültag);</w:t>
      </w:r>
    </w:p>
    <w:p w14:paraId="1913B684" w14:textId="77777777" w:rsidR="00CC5656" w:rsidRPr="00664213" w:rsidRDefault="00CC5656" w:rsidP="00EC10C5">
      <w:pPr>
        <w:pStyle w:val="Stlus2"/>
        <w:rPr>
          <w:rFonts w:eastAsia="Times New Roman"/>
          <w:lang w:eastAsia="hu-HU"/>
        </w:rPr>
      </w:pPr>
      <w:r w:rsidRPr="00664213">
        <w:rPr>
          <w:rFonts w:eastAsia="Times New Roman"/>
          <w:lang w:eastAsia="hu-HU"/>
        </w:rPr>
        <w:t xml:space="preserve">kiskorú személy (2:10. §) – 18 év alatt – gazdasági társaság korlátlanul felelős tagja nem lehet (azaz nem lehet tag </w:t>
      </w:r>
      <w:proofErr w:type="spellStart"/>
      <w:r w:rsidRPr="00664213">
        <w:rPr>
          <w:rFonts w:eastAsia="Times New Roman"/>
          <w:lang w:eastAsia="hu-HU"/>
        </w:rPr>
        <w:t>kkt.-ben</w:t>
      </w:r>
      <w:proofErr w:type="spellEnd"/>
      <w:r w:rsidRPr="00664213">
        <w:rPr>
          <w:rFonts w:eastAsia="Times New Roman"/>
          <w:lang w:eastAsia="hu-HU"/>
        </w:rPr>
        <w:t xml:space="preserve"> és nem lehet beltag a bt.-ben sem);</w:t>
      </w:r>
    </w:p>
    <w:p w14:paraId="244DA33F" w14:textId="77777777" w:rsidR="00CC5656" w:rsidRPr="00664213" w:rsidRDefault="00CC5656" w:rsidP="00EC10C5">
      <w:pPr>
        <w:pStyle w:val="Stlus2"/>
        <w:rPr>
          <w:rFonts w:eastAsia="Times New Roman"/>
          <w:lang w:eastAsia="hu-HU"/>
        </w:rPr>
      </w:pPr>
      <w:r w:rsidRPr="00664213">
        <w:rPr>
          <w:rFonts w:eastAsia="Times New Roman"/>
          <w:lang w:eastAsia="hu-HU"/>
        </w:rPr>
        <w:t xml:space="preserve">egyéni cég, </w:t>
      </w:r>
      <w:proofErr w:type="spellStart"/>
      <w:r w:rsidRPr="00664213">
        <w:rPr>
          <w:rFonts w:eastAsia="Times New Roman"/>
          <w:lang w:eastAsia="hu-HU"/>
        </w:rPr>
        <w:t>kkt.</w:t>
      </w:r>
      <w:proofErr w:type="spellEnd"/>
      <w:r w:rsidRPr="00664213">
        <w:rPr>
          <w:rFonts w:eastAsia="Times New Roman"/>
          <w:lang w:eastAsia="hu-HU"/>
        </w:rPr>
        <w:t xml:space="preserve"> és bt. nem lehet másik társaság korlátlanul felelős tagja;</w:t>
      </w:r>
    </w:p>
    <w:p w14:paraId="517C71B1" w14:textId="77777777" w:rsidR="00CC5656" w:rsidRPr="00CC5656" w:rsidRDefault="00CC5656" w:rsidP="00EC10C5">
      <w:pPr>
        <w:pStyle w:val="Stlus2"/>
      </w:pPr>
      <w:r w:rsidRPr="00664213">
        <w:rPr>
          <w:rFonts w:eastAsia="Times New Roman"/>
          <w:lang w:eastAsia="hu-HU"/>
        </w:rPr>
        <w:t xml:space="preserve">nem lehet gazdasági társaság tagja, aki „eltiltás hatálya alatt áll”. Jelenleg az ún. </w:t>
      </w:r>
      <w:r w:rsidRPr="00664213">
        <w:rPr>
          <w:rFonts w:eastAsia="Times New Roman"/>
          <w:i/>
          <w:lang w:eastAsia="hu-HU"/>
        </w:rPr>
        <w:t>adóregisztrációs eljárás</w:t>
      </w:r>
      <w:r w:rsidRPr="00664213">
        <w:rPr>
          <w:rFonts w:eastAsia="Times New Roman"/>
          <w:lang w:eastAsia="hu-HU"/>
        </w:rPr>
        <w:t xml:space="preserve"> során az adóhatóság megtagadhatja az adószám kiadását az olyan társaságok számára, amelyeknél a tagoknak jelentős köztartozása van. Emellett a 2011. évi CXCVII. törvény a </w:t>
      </w:r>
      <w:proofErr w:type="spellStart"/>
      <w:r w:rsidRPr="00664213">
        <w:rPr>
          <w:rFonts w:eastAsia="Times New Roman"/>
          <w:lang w:eastAsia="hu-HU"/>
        </w:rPr>
        <w:t>törölt</w:t>
      </w:r>
      <w:proofErr w:type="spellEnd"/>
      <w:r w:rsidRPr="00664213">
        <w:rPr>
          <w:rFonts w:eastAsia="Times New Roman"/>
          <w:lang w:eastAsia="hu-HU"/>
        </w:rPr>
        <w:t xml:space="preserve"> fantomcégek, illetve a tartozásokat </w:t>
      </w:r>
      <w:proofErr w:type="spellStart"/>
      <w:r w:rsidRPr="00664213">
        <w:rPr>
          <w:rFonts w:eastAsia="Times New Roman"/>
          <w:lang w:eastAsia="hu-HU"/>
        </w:rPr>
        <w:t>hátrahagyó</w:t>
      </w:r>
      <w:proofErr w:type="spellEnd"/>
      <w:r w:rsidRPr="00664213">
        <w:rPr>
          <w:rFonts w:eastAsia="Times New Roman"/>
          <w:lang w:eastAsia="hu-HU"/>
        </w:rPr>
        <w:t xml:space="preserve"> felszámolt társaságok tulajdonosait is kizárja a társaságalapításból és ezek a korlátozások a Gt.-be is bekerültek. Ez ténylegesen azt jelenti, hogy az ilyen személy el van tiltva a társaságalapítástól, tehát attól, hogy társaság tagja legyen.</w:t>
      </w:r>
      <w:r w:rsidRPr="00664213">
        <w:rPr>
          <w:rFonts w:eastAsia="Times New Roman"/>
          <w:vertAlign w:val="superscript"/>
          <w:lang w:eastAsia="hu-HU"/>
        </w:rPr>
        <w:footnoteReference w:id="7"/>
      </w:r>
    </w:p>
    <w:p w14:paraId="7946354F" w14:textId="77777777" w:rsidR="00CC5656" w:rsidRPr="00664213" w:rsidRDefault="00CC5656" w:rsidP="00EC10C5">
      <w:pPr>
        <w:pStyle w:val="Stlus2"/>
        <w:numPr>
          <w:ilvl w:val="0"/>
          <w:numId w:val="0"/>
        </w:numPr>
        <w:ind w:left="1276"/>
      </w:pPr>
    </w:p>
    <w:p w14:paraId="157808D8" w14:textId="77777777" w:rsidR="00CC5656" w:rsidRPr="00664213" w:rsidRDefault="00CC5656" w:rsidP="00EC10C5">
      <w:pPr>
        <w:pStyle w:val="Stlus3"/>
      </w:pPr>
      <w:bookmarkStart w:id="301" w:name="_Toc2761115"/>
      <w:bookmarkStart w:id="302" w:name="_Toc13138767"/>
      <w:r>
        <w:t>D</w:t>
      </w:r>
      <w:r w:rsidRPr="00664213">
        <w:t>. A társaság létszakaszai</w:t>
      </w:r>
      <w:bookmarkEnd w:id="301"/>
      <w:bookmarkEnd w:id="302"/>
    </w:p>
    <w:p w14:paraId="38F804BC"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gazdasági társaság létszakaszai a következők:</w:t>
      </w:r>
    </w:p>
    <w:p w14:paraId="1DDA77F7" w14:textId="77777777" w:rsidR="00CC5656" w:rsidRPr="00664213" w:rsidRDefault="00CC5656" w:rsidP="00EC10C5">
      <w:pPr>
        <w:pStyle w:val="Stlus2"/>
        <w:rPr>
          <w:rFonts w:eastAsia="Times New Roman"/>
          <w:lang w:eastAsia="hu-HU"/>
        </w:rPr>
      </w:pPr>
      <w:r w:rsidRPr="00664213">
        <w:rPr>
          <w:rFonts w:eastAsia="Times New Roman"/>
          <w:lang w:eastAsia="hu-HU"/>
        </w:rPr>
        <w:t>alapítás (Ptk. 3:94–3:1001 §),</w:t>
      </w:r>
    </w:p>
    <w:p w14:paraId="61390623" w14:textId="77777777" w:rsidR="00CC5656" w:rsidRPr="00664213" w:rsidRDefault="00CC5656" w:rsidP="00EC10C5">
      <w:pPr>
        <w:pStyle w:val="Stlus2"/>
        <w:rPr>
          <w:rFonts w:eastAsia="Times New Roman"/>
          <w:lang w:eastAsia="hu-HU"/>
        </w:rPr>
      </w:pPr>
      <w:r w:rsidRPr="00664213">
        <w:rPr>
          <w:rFonts w:eastAsia="Times New Roman"/>
          <w:lang w:eastAsia="hu-HU"/>
        </w:rPr>
        <w:t>a társasági szerződés módosítása (Ptk. 3:102. §),</w:t>
      </w:r>
    </w:p>
    <w:p w14:paraId="63AD4A86" w14:textId="77777777" w:rsidR="00CC5656" w:rsidRPr="00664213" w:rsidRDefault="00CC5656" w:rsidP="00EC10C5">
      <w:pPr>
        <w:pStyle w:val="Stlus2"/>
        <w:rPr>
          <w:rFonts w:eastAsia="Times New Roman"/>
          <w:lang w:eastAsia="hu-HU"/>
        </w:rPr>
      </w:pPr>
      <w:r w:rsidRPr="00664213">
        <w:rPr>
          <w:rFonts w:eastAsia="Times New Roman"/>
          <w:lang w:eastAsia="hu-HU"/>
        </w:rPr>
        <w:t>a társaság formaváltozása, azaz más társasági formába való átalakulása (Ptk. 113–135. §),</w:t>
      </w:r>
    </w:p>
    <w:p w14:paraId="0A10E068" w14:textId="77777777" w:rsidR="00CC5656" w:rsidRPr="00664213" w:rsidRDefault="00CC5656" w:rsidP="00EC10C5">
      <w:pPr>
        <w:pStyle w:val="Stlus2"/>
        <w:rPr>
          <w:rFonts w:eastAsia="Times New Roman"/>
          <w:lang w:eastAsia="hu-HU"/>
        </w:rPr>
      </w:pPr>
      <w:r w:rsidRPr="00664213">
        <w:rPr>
          <w:rFonts w:eastAsia="Times New Roman"/>
          <w:lang w:eastAsia="hu-HU"/>
        </w:rPr>
        <w:t>társaságok egyesülése (Ptk. 3:136. §),</w:t>
      </w:r>
    </w:p>
    <w:p w14:paraId="447DB492" w14:textId="77777777" w:rsidR="00CC5656" w:rsidRPr="00664213" w:rsidRDefault="00CC5656" w:rsidP="00EC10C5">
      <w:pPr>
        <w:pStyle w:val="Stlus2"/>
        <w:rPr>
          <w:rFonts w:eastAsia="Times New Roman"/>
          <w:lang w:eastAsia="hu-HU"/>
        </w:rPr>
      </w:pPr>
      <w:r w:rsidRPr="00664213">
        <w:rPr>
          <w:rFonts w:eastAsia="Times New Roman"/>
          <w:lang w:eastAsia="hu-HU"/>
        </w:rPr>
        <w:t>a társaságok szétválása (Ptk. 3:136. §),</w:t>
      </w:r>
    </w:p>
    <w:p w14:paraId="2585271F" w14:textId="77777777" w:rsidR="00CC5656" w:rsidRPr="00664213" w:rsidRDefault="00CC5656" w:rsidP="00EC10C5">
      <w:pPr>
        <w:pStyle w:val="Stlus2"/>
        <w:rPr>
          <w:rFonts w:eastAsia="Times New Roman"/>
          <w:lang w:eastAsia="hu-HU"/>
        </w:rPr>
      </w:pPr>
      <w:r w:rsidRPr="00664213">
        <w:rPr>
          <w:rFonts w:eastAsia="Times New Roman"/>
          <w:lang w:eastAsia="hu-HU"/>
        </w:rPr>
        <w:t>a társaság jogutód nélküli megszűnése (Ptk. 3:137. §).</w:t>
      </w:r>
    </w:p>
    <w:p w14:paraId="003AA130"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b/>
        <w:t xml:space="preserve"> A gazdasági társaságok létszakaszaival kapcsolatban vissza kell utalni a Ptk. jog személyekkel kapcsolatos általános szabályaira. A társaságalapítással kapcsolatban figyelembe kell venni a Ptk. 3:5–3:10. §-át, az átalakulással, egyesüléssel és szétválással kapcsolatban a Ptk. 3:39–3:47. §-át, a jogutód nélküli megszűnéssel kapcsolatban a Ptk. 3:48. §-át is. (Az általános rész a létesítő okirat módosításáról nem rendelkezik.)</w:t>
      </w:r>
    </w:p>
    <w:p w14:paraId="64466881"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7C24144C" w14:textId="77777777" w:rsidR="00CC5656" w:rsidRPr="00664213" w:rsidRDefault="00CC5656" w:rsidP="00EC10C5">
      <w:pPr>
        <w:pStyle w:val="Stlus3"/>
      </w:pPr>
      <w:bookmarkStart w:id="303" w:name="_Toc2761116"/>
      <w:bookmarkStart w:id="304" w:name="_Toc13138768"/>
      <w:r>
        <w:t>D</w:t>
      </w:r>
      <w:r w:rsidRPr="00664213">
        <w:t>.1. A társaság alapítása</w:t>
      </w:r>
      <w:bookmarkEnd w:id="303"/>
      <w:bookmarkEnd w:id="304"/>
      <w:r w:rsidRPr="00664213">
        <w:t xml:space="preserve"> </w:t>
      </w:r>
    </w:p>
    <w:p w14:paraId="0F2BA45E" w14:textId="77777777" w:rsidR="00CC5656" w:rsidRPr="00664213" w:rsidRDefault="00CC5656" w:rsidP="00EC10C5">
      <w:pPr>
        <w:pStyle w:val="Stlus1"/>
        <w:rPr>
          <w:rFonts w:eastAsia="Times New Roman"/>
          <w:lang w:eastAsia="hu-HU"/>
        </w:rPr>
      </w:pPr>
      <w:bookmarkStart w:id="305" w:name="_Toc2761117"/>
      <w:bookmarkStart w:id="306" w:name="_Toc13138769"/>
      <w:r w:rsidRPr="00664213">
        <w:rPr>
          <w:rFonts w:eastAsia="Times New Roman"/>
          <w:lang w:eastAsia="hu-HU"/>
        </w:rPr>
        <w:t>Az alapítás folyamata, lépcsői</w:t>
      </w:r>
      <w:bookmarkEnd w:id="305"/>
      <w:bookmarkEnd w:id="306"/>
    </w:p>
    <w:p w14:paraId="184D6E4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Az alapítás lépcsői a Ptk. 3:94–3:101. §-a szerint (lényegében a hatályos Gt.-vel azonosan) a következők:</w:t>
      </w:r>
    </w:p>
    <w:p w14:paraId="6D8BB816" w14:textId="77777777" w:rsidR="00CC5656" w:rsidRPr="00664213" w:rsidRDefault="00CC5656" w:rsidP="00EC10C5">
      <w:pPr>
        <w:pStyle w:val="Stlus2"/>
        <w:rPr>
          <w:rFonts w:eastAsia="Times New Roman"/>
          <w:lang w:eastAsia="hu-HU"/>
        </w:rPr>
      </w:pPr>
      <w:r w:rsidRPr="00664213">
        <w:rPr>
          <w:rFonts w:eastAsia="Times New Roman"/>
          <w:lang w:eastAsia="hu-HU"/>
        </w:rPr>
        <w:t>a társasági szerződés megkötése,</w:t>
      </w:r>
    </w:p>
    <w:p w14:paraId="2422033A" w14:textId="77777777" w:rsidR="00CC5656" w:rsidRPr="00664213" w:rsidRDefault="00CC5656" w:rsidP="00EC10C5">
      <w:pPr>
        <w:pStyle w:val="Stlus2"/>
        <w:rPr>
          <w:rFonts w:eastAsia="Times New Roman"/>
          <w:lang w:eastAsia="hu-HU"/>
        </w:rPr>
      </w:pPr>
      <w:r w:rsidRPr="00664213">
        <w:rPr>
          <w:rFonts w:eastAsia="Times New Roman"/>
          <w:lang w:eastAsia="hu-HU"/>
        </w:rPr>
        <w:t>a társasági szerződés ügyvédi ellenjegyzése (közjegyzői okiratba foglalása),</w:t>
      </w:r>
    </w:p>
    <w:p w14:paraId="47E29CD0" w14:textId="77777777" w:rsidR="00CC5656" w:rsidRPr="00664213" w:rsidRDefault="00CC5656" w:rsidP="00EC10C5">
      <w:pPr>
        <w:pStyle w:val="Stlus2"/>
        <w:rPr>
          <w:rFonts w:eastAsia="Times New Roman"/>
          <w:lang w:eastAsia="hu-HU"/>
        </w:rPr>
      </w:pPr>
      <w:r w:rsidRPr="00664213">
        <w:rPr>
          <w:rFonts w:eastAsia="Times New Roman"/>
          <w:lang w:eastAsia="hu-HU"/>
        </w:rPr>
        <w:t>a társaság bejelentkezése a cégbíróságnál,</w:t>
      </w:r>
    </w:p>
    <w:p w14:paraId="5BA6C21C" w14:textId="77777777" w:rsidR="00CC5656" w:rsidRPr="00664213" w:rsidRDefault="00CC5656" w:rsidP="00EC10C5">
      <w:pPr>
        <w:pStyle w:val="Stlus2"/>
        <w:rPr>
          <w:rFonts w:eastAsia="Times New Roman"/>
          <w:lang w:eastAsia="hu-HU"/>
        </w:rPr>
      </w:pPr>
      <w:r w:rsidRPr="00664213">
        <w:rPr>
          <w:rFonts w:eastAsia="Times New Roman"/>
          <w:lang w:eastAsia="hu-HU"/>
        </w:rPr>
        <w:t>a bejegyzési eljárás lefolytatása,</w:t>
      </w:r>
    </w:p>
    <w:p w14:paraId="27719141" w14:textId="77777777" w:rsidR="00CC5656" w:rsidRPr="00664213" w:rsidRDefault="00CC5656" w:rsidP="00EC10C5">
      <w:pPr>
        <w:pStyle w:val="Stlus2"/>
        <w:rPr>
          <w:rFonts w:eastAsia="Times New Roman"/>
          <w:lang w:eastAsia="hu-HU"/>
        </w:rPr>
      </w:pPr>
      <w:r w:rsidRPr="00664213">
        <w:rPr>
          <w:rFonts w:eastAsia="Times New Roman"/>
          <w:lang w:eastAsia="hu-HU"/>
        </w:rPr>
        <w:t>a társaság cégjegyzékbe való bejegyzése, amellyel a társaság a jövőre nézve megszerzi jogi személy</w:t>
      </w:r>
      <w:r>
        <w:rPr>
          <w:rFonts w:eastAsia="Times New Roman"/>
          <w:lang w:eastAsia="hu-HU"/>
        </w:rPr>
        <w:t>i</w:t>
      </w:r>
      <w:r w:rsidRPr="00664213">
        <w:rPr>
          <w:rFonts w:eastAsia="Times New Roman"/>
          <w:lang w:eastAsia="hu-HU"/>
        </w:rPr>
        <w:t>ségét.</w:t>
      </w:r>
    </w:p>
    <w:p w14:paraId="4ADE1F5D"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466607D4" w14:textId="77777777" w:rsidR="00CC5656" w:rsidRPr="00664213" w:rsidRDefault="00CC5656" w:rsidP="00EC10C5">
      <w:pPr>
        <w:pStyle w:val="Stlus1"/>
        <w:rPr>
          <w:rFonts w:eastAsia="Times New Roman"/>
          <w:lang w:eastAsia="hu-HU"/>
        </w:rPr>
      </w:pPr>
      <w:bookmarkStart w:id="307" w:name="_Toc2761118"/>
      <w:bookmarkStart w:id="308" w:name="_Toc13138770"/>
      <w:r w:rsidRPr="00664213">
        <w:rPr>
          <w:rFonts w:eastAsia="Times New Roman"/>
          <w:lang w:eastAsia="hu-HU"/>
        </w:rPr>
        <w:lastRenderedPageBreak/>
        <w:t>A társasági szerződés létrehozása, az előtársaság</w:t>
      </w:r>
      <w:bookmarkEnd w:id="307"/>
      <w:bookmarkEnd w:id="308"/>
    </w:p>
    <w:p w14:paraId="5347301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társaságalapítás a társasági szerződés megkötésével kezdődik. A társasági szerződéssel egy tekintet alá esik az </w:t>
      </w:r>
      <w:r w:rsidRPr="00664213">
        <w:rPr>
          <w:rFonts w:ascii="Times New Roman" w:eastAsia="Times New Roman" w:hAnsi="Times New Roman" w:cs="Times New Roman"/>
          <w:i/>
          <w:sz w:val="24"/>
          <w:szCs w:val="24"/>
          <w:lang w:eastAsia="hu-HU"/>
        </w:rPr>
        <w:t>egyszemélyes kft. alapító okirata,</w:t>
      </w:r>
      <w:r w:rsidRPr="00664213">
        <w:rPr>
          <w:rFonts w:ascii="Times New Roman" w:eastAsia="Times New Roman" w:hAnsi="Times New Roman" w:cs="Times New Roman"/>
          <w:sz w:val="24"/>
          <w:szCs w:val="24"/>
          <w:lang w:eastAsia="hu-HU"/>
        </w:rPr>
        <w:t xml:space="preserve"> illetve a </w:t>
      </w:r>
      <w:r w:rsidRPr="00664213">
        <w:rPr>
          <w:rFonts w:ascii="Times New Roman" w:eastAsia="Times New Roman" w:hAnsi="Times New Roman" w:cs="Times New Roman"/>
          <w:i/>
          <w:sz w:val="24"/>
          <w:szCs w:val="24"/>
          <w:lang w:eastAsia="hu-HU"/>
        </w:rPr>
        <w:t>részvénytársaságok alapszabálya</w:t>
      </w:r>
      <w:r w:rsidRPr="00664213">
        <w:rPr>
          <w:rFonts w:ascii="Times New Roman" w:eastAsia="Times New Roman" w:hAnsi="Times New Roman" w:cs="Times New Roman"/>
          <w:sz w:val="24"/>
          <w:szCs w:val="24"/>
          <w:lang w:eastAsia="hu-HU"/>
        </w:rPr>
        <w:t xml:space="preserve">. (Eddig az egyszemélyes rt.-nek is alapító okirata volt.) A társasági szerződést nagyobb társaságoknál előkészítő (esetleg elő- vagy keret-) szerződésként esetlegesen megelőzheti egy </w:t>
      </w:r>
      <w:r w:rsidRPr="00664213">
        <w:rPr>
          <w:rFonts w:ascii="Times New Roman" w:eastAsia="Times New Roman" w:hAnsi="Times New Roman" w:cs="Times New Roman"/>
          <w:i/>
          <w:iCs/>
          <w:sz w:val="24"/>
          <w:szCs w:val="24"/>
          <w:lang w:eastAsia="hu-HU"/>
        </w:rPr>
        <w:t xml:space="preserve">szindikátusi szerződés </w:t>
      </w:r>
      <w:r w:rsidRPr="00664213">
        <w:rPr>
          <w:rFonts w:ascii="Times New Roman" w:eastAsia="Times New Roman" w:hAnsi="Times New Roman" w:cs="Times New Roman"/>
          <w:sz w:val="24"/>
          <w:szCs w:val="24"/>
          <w:lang w:eastAsia="hu-HU"/>
        </w:rPr>
        <w:t xml:space="preserve">(részvényesi megállapodás) megkötése. Az alapítás folyamatának következő lépcsője a társasági szerződés ügyvédi (jogtanácsosi) ellenjegyzése vagy közjegyzői (köz)okiratba foglalása. Ezzel a társaság előtársasági állapotba jut. Ezt követően a társaságnak – az alapítástól számított 30 napon belül </w:t>
      </w:r>
      <w:proofErr w:type="gramStart"/>
      <w:r w:rsidRPr="00664213">
        <w:rPr>
          <w:rFonts w:ascii="Times New Roman" w:eastAsia="Times New Roman" w:hAnsi="Times New Roman" w:cs="Times New Roman"/>
          <w:sz w:val="24"/>
          <w:szCs w:val="24"/>
          <w:lang w:eastAsia="hu-HU"/>
        </w:rPr>
        <w:t>-  kérnie</w:t>
      </w:r>
      <w:proofErr w:type="gramEnd"/>
      <w:r w:rsidRPr="00664213">
        <w:rPr>
          <w:rFonts w:ascii="Times New Roman" w:eastAsia="Times New Roman" w:hAnsi="Times New Roman" w:cs="Times New Roman"/>
          <w:sz w:val="24"/>
          <w:szCs w:val="24"/>
          <w:lang w:eastAsia="hu-HU"/>
        </w:rPr>
        <w:t xml:space="preserve"> kell a cégnyilvántartásba való bejegyzését a cégbíróságtól. A bejegyzési eljárás eredményeképp végül a társaság a cégjegyzékbe való bejegyzésével, a bejegyzés napján a jövőre nézve jön létre (ún. ex </w:t>
      </w:r>
      <w:proofErr w:type="spellStart"/>
      <w:r w:rsidRPr="00664213">
        <w:rPr>
          <w:rFonts w:ascii="Times New Roman" w:eastAsia="Times New Roman" w:hAnsi="Times New Roman" w:cs="Times New Roman"/>
          <w:sz w:val="24"/>
          <w:szCs w:val="24"/>
          <w:lang w:eastAsia="hu-HU"/>
        </w:rPr>
        <w:t>nunc</w:t>
      </w:r>
      <w:proofErr w:type="spellEnd"/>
      <w:r w:rsidRPr="00664213">
        <w:rPr>
          <w:rFonts w:ascii="Times New Roman" w:eastAsia="Times New Roman" w:hAnsi="Times New Roman" w:cs="Times New Roman"/>
          <w:sz w:val="24"/>
          <w:szCs w:val="24"/>
          <w:lang w:eastAsia="hu-HU"/>
        </w:rPr>
        <w:t>, konstitutív hatályú bírói aktus).</w:t>
      </w:r>
    </w:p>
    <w:p w14:paraId="6D0C1D7E"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társasági szerződés kötelező tartalmát részben a Ptk. általános szabályaiból (Ptk. 3:5–3:10. §), részben a Ptk. 3:95–3:99. §-</w:t>
      </w:r>
      <w:proofErr w:type="spellStart"/>
      <w:r w:rsidRPr="00664213">
        <w:rPr>
          <w:rFonts w:ascii="Times New Roman" w:eastAsia="Times New Roman" w:hAnsi="Times New Roman" w:cs="Times New Roman"/>
          <w:sz w:val="24"/>
          <w:szCs w:val="24"/>
          <w:lang w:eastAsia="hu-HU"/>
        </w:rPr>
        <w:t>ból</w:t>
      </w:r>
      <w:proofErr w:type="spellEnd"/>
      <w:r w:rsidRPr="00664213">
        <w:rPr>
          <w:rFonts w:ascii="Times New Roman" w:eastAsia="Times New Roman" w:hAnsi="Times New Roman" w:cs="Times New Roman"/>
          <w:sz w:val="24"/>
          <w:szCs w:val="24"/>
          <w:lang w:eastAsia="hu-HU"/>
        </w:rPr>
        <w:t xml:space="preserve"> lehet levezetni. (cégnév, székhely, tagok felsorolása, tevékenységi kör, időtartam stb.). Emellett az egyes társasági formáknál a törvényhozó további, az adott társasági forma jellegzetességei miatt szükséges további törvényi kellékeket állapít meg.</w:t>
      </w:r>
    </w:p>
    <w:p w14:paraId="04D46DC1"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Minden gazdasági társaság </w:t>
      </w:r>
      <w:r w:rsidRPr="00664213">
        <w:rPr>
          <w:rFonts w:ascii="Times New Roman" w:eastAsia="Times New Roman" w:hAnsi="Times New Roman" w:cs="Times New Roman"/>
          <w:i/>
          <w:sz w:val="24"/>
          <w:szCs w:val="24"/>
          <w:lang w:eastAsia="hu-HU"/>
        </w:rPr>
        <w:t xml:space="preserve">cégnévvel </w:t>
      </w:r>
      <w:r w:rsidRPr="00664213">
        <w:rPr>
          <w:rFonts w:ascii="Times New Roman" w:eastAsia="Times New Roman" w:hAnsi="Times New Roman" w:cs="Times New Roman"/>
          <w:sz w:val="24"/>
          <w:szCs w:val="24"/>
          <w:lang w:eastAsia="hu-HU"/>
        </w:rPr>
        <w:t>rendelkezik, amelyre nézve a részletes szabályokat – a jogi személy nevére vonatkozó, Ptk. 3:6. §-ban foglalt általános szabályokon túl – a cégtörvény (</w:t>
      </w:r>
      <w:proofErr w:type="spellStart"/>
      <w:r w:rsidRPr="00664213">
        <w:rPr>
          <w:rFonts w:ascii="Times New Roman" w:eastAsia="Times New Roman" w:hAnsi="Times New Roman" w:cs="Times New Roman"/>
          <w:sz w:val="24"/>
          <w:szCs w:val="24"/>
          <w:lang w:eastAsia="hu-HU"/>
        </w:rPr>
        <w:t>Ctv</w:t>
      </w:r>
      <w:proofErr w:type="spellEnd"/>
      <w:r w:rsidRPr="00664213">
        <w:rPr>
          <w:rFonts w:ascii="Times New Roman" w:eastAsia="Times New Roman" w:hAnsi="Times New Roman" w:cs="Times New Roman"/>
          <w:sz w:val="24"/>
          <w:szCs w:val="24"/>
          <w:lang w:eastAsia="hu-HU"/>
        </w:rPr>
        <w:t>.) határozza meg.</w:t>
      </w:r>
    </w:p>
    <w:p w14:paraId="648325B5"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társaság </w:t>
      </w:r>
      <w:r w:rsidRPr="00664213">
        <w:rPr>
          <w:rFonts w:ascii="Times New Roman" w:eastAsia="Times New Roman" w:hAnsi="Times New Roman" w:cs="Times New Roman"/>
          <w:i/>
          <w:sz w:val="24"/>
          <w:szCs w:val="24"/>
          <w:lang w:eastAsia="hu-HU"/>
        </w:rPr>
        <w:t>székhelyének</w:t>
      </w:r>
      <w:r w:rsidRPr="00664213">
        <w:rPr>
          <w:rFonts w:ascii="Times New Roman" w:eastAsia="Times New Roman" w:hAnsi="Times New Roman" w:cs="Times New Roman"/>
          <w:sz w:val="24"/>
          <w:szCs w:val="24"/>
          <w:lang w:eastAsia="hu-HU"/>
        </w:rPr>
        <w:t xml:space="preserve"> nem kell feltétlenül azonosnak lennie a központi ügyintézés helyével, de ha ez a két hely egymástól elkülönül, a székhely mellett a társasági szerződésben a központi ügyintézés helyét is fel kell tüntetni. A társaságnak más földrajzi helyen lévő telephelyei (</w:t>
      </w:r>
      <w:proofErr w:type="spellStart"/>
      <w:r w:rsidRPr="00664213">
        <w:rPr>
          <w:rFonts w:ascii="Times New Roman" w:eastAsia="Times New Roman" w:hAnsi="Times New Roman" w:cs="Times New Roman"/>
          <w:sz w:val="24"/>
          <w:szCs w:val="24"/>
          <w:lang w:eastAsia="hu-HU"/>
        </w:rPr>
        <w:t>fióktelepei</w:t>
      </w:r>
      <w:proofErr w:type="spellEnd"/>
      <w:r w:rsidRPr="00664213">
        <w:rPr>
          <w:rFonts w:ascii="Times New Roman" w:eastAsia="Times New Roman" w:hAnsi="Times New Roman" w:cs="Times New Roman"/>
          <w:sz w:val="24"/>
          <w:szCs w:val="24"/>
          <w:lang w:eastAsia="hu-HU"/>
        </w:rPr>
        <w:t>) is lehetnek, ezeket a cégnyilvántartásba csak akkor kell bejegyezni, ha a társaság kéri. A társaság székhelye az uniós jog alapján külföldre is áthelyezhető (ld. II. Rész IX. fejezet).</w:t>
      </w:r>
    </w:p>
    <w:p w14:paraId="164A6B1F"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gazdasági társaság elvileg </w:t>
      </w:r>
      <w:r w:rsidRPr="00664213">
        <w:rPr>
          <w:rFonts w:ascii="Times New Roman" w:eastAsia="Times New Roman" w:hAnsi="Times New Roman" w:cs="Times New Roman"/>
          <w:i/>
          <w:sz w:val="24"/>
          <w:szCs w:val="24"/>
          <w:lang w:eastAsia="hu-HU"/>
        </w:rPr>
        <w:t>minden olyan tevékenységet folytathat</w:t>
      </w:r>
      <w:r w:rsidRPr="00664213">
        <w:rPr>
          <w:rFonts w:ascii="Times New Roman" w:eastAsia="Times New Roman" w:hAnsi="Times New Roman" w:cs="Times New Roman"/>
          <w:sz w:val="24"/>
          <w:szCs w:val="24"/>
          <w:lang w:eastAsia="hu-HU"/>
        </w:rPr>
        <w:t xml:space="preserve">, amit a törvény nem tilt, illetve nem korlátoz (Ptk. 3:8. §) Ha azonban jogszabály valamely tevékenység folytatását hatósági engedélyhez köti, e tevékenység ugyan szerepelhet a társasági szerződésben foglalt tevékenységi körében, de e tevékenységet a társaság csak a hatósági engedély birtokában kezdheti el. (Ez az ún. </w:t>
      </w:r>
      <w:r w:rsidRPr="00664213">
        <w:rPr>
          <w:rFonts w:ascii="Times New Roman" w:eastAsia="Times New Roman" w:hAnsi="Times New Roman" w:cs="Times New Roman"/>
          <w:i/>
          <w:sz w:val="24"/>
          <w:szCs w:val="24"/>
          <w:lang w:eastAsia="hu-HU"/>
        </w:rPr>
        <w:t>működési engedély</w:t>
      </w:r>
      <w:r w:rsidRPr="00664213">
        <w:rPr>
          <w:rFonts w:ascii="Times New Roman" w:eastAsia="Times New Roman" w:hAnsi="Times New Roman" w:cs="Times New Roman"/>
          <w:sz w:val="24"/>
          <w:szCs w:val="24"/>
          <w:lang w:eastAsia="hu-HU"/>
        </w:rPr>
        <w:t xml:space="preserve">.) Egyes vállalkozásoknál – kereskedelmi bankok–biztosítók – ún. </w:t>
      </w:r>
      <w:r w:rsidRPr="00664213">
        <w:rPr>
          <w:rFonts w:ascii="Times New Roman" w:eastAsia="Times New Roman" w:hAnsi="Times New Roman" w:cs="Times New Roman"/>
          <w:i/>
          <w:sz w:val="24"/>
          <w:szCs w:val="24"/>
          <w:lang w:eastAsia="hu-HU"/>
        </w:rPr>
        <w:t>alapítási engedélyre</w:t>
      </w:r>
      <w:r w:rsidRPr="00664213">
        <w:rPr>
          <w:rFonts w:ascii="Times New Roman" w:eastAsia="Times New Roman" w:hAnsi="Times New Roman" w:cs="Times New Roman"/>
          <w:sz w:val="24"/>
          <w:szCs w:val="24"/>
          <w:lang w:eastAsia="hu-HU"/>
        </w:rPr>
        <w:t xml:space="preserve"> is szükség van. Alapítási engedély nélkül az ilyen társaság nem jegyezhető be a cégjegyzékbe. Jogszabály által </w:t>
      </w:r>
      <w:r w:rsidRPr="00664213">
        <w:rPr>
          <w:rFonts w:ascii="Times New Roman" w:eastAsia="Times New Roman" w:hAnsi="Times New Roman" w:cs="Times New Roman"/>
          <w:i/>
          <w:sz w:val="24"/>
          <w:szCs w:val="24"/>
          <w:lang w:eastAsia="hu-HU"/>
        </w:rPr>
        <w:t>képesítéshez</w:t>
      </w:r>
      <w:r w:rsidRPr="00664213">
        <w:rPr>
          <w:rFonts w:ascii="Times New Roman" w:eastAsia="Times New Roman" w:hAnsi="Times New Roman" w:cs="Times New Roman"/>
          <w:sz w:val="24"/>
          <w:szCs w:val="24"/>
          <w:lang w:eastAsia="hu-HU"/>
        </w:rPr>
        <w:t xml:space="preserve"> kötött tevékenységet pedig a társaság csak akkor végezhet, ha van olyan tagja, munkavállalója, illetve megbízottja, aki a képesítési követelménynek megfelel.</w:t>
      </w:r>
    </w:p>
    <w:p w14:paraId="3FFC39FC"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társasági szerződést – az ügyvédi ellenjegyzéstől függetlenül – a társaság minden alapító tagjának, illetve képviselőjének alá kell írnia. A társasági szerződésre vonatkozó szabályokat megfelelően alkalmazni kell az egyszemélyes kft. alapító okiratára és a részvénytársaságok alapszabályára is.</w:t>
      </w:r>
    </w:p>
    <w:p w14:paraId="4A495B74"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társasági szerződés </w:t>
      </w:r>
      <w:r w:rsidRPr="00664213">
        <w:rPr>
          <w:rFonts w:ascii="Times New Roman" w:eastAsia="Times New Roman" w:hAnsi="Times New Roman" w:cs="Times New Roman"/>
          <w:i/>
          <w:iCs/>
          <w:sz w:val="24"/>
          <w:szCs w:val="24"/>
          <w:lang w:eastAsia="hu-HU"/>
        </w:rPr>
        <w:t>minősített alakisághoz kötött okirat</w:t>
      </w:r>
      <w:r w:rsidRPr="00664213">
        <w:rPr>
          <w:rFonts w:ascii="Times New Roman" w:eastAsia="Times New Roman" w:hAnsi="Times New Roman" w:cs="Times New Roman"/>
          <w:sz w:val="24"/>
          <w:szCs w:val="24"/>
          <w:lang w:eastAsia="hu-HU"/>
        </w:rPr>
        <w:t xml:space="preserve">. Ezért a tagok által aláírt társasági szerződést (alapító okiratot, alapszabályt) ügyvédi ellenjegyzéssel kell ellátni </w:t>
      </w:r>
      <w:r w:rsidRPr="00664213">
        <w:rPr>
          <w:rFonts w:ascii="Times New Roman" w:eastAsia="Times New Roman" w:hAnsi="Times New Roman" w:cs="Times New Roman"/>
          <w:i/>
          <w:sz w:val="24"/>
          <w:szCs w:val="24"/>
          <w:lang w:eastAsia="hu-HU"/>
        </w:rPr>
        <w:t>vagy</w:t>
      </w:r>
      <w:r w:rsidRPr="00664213">
        <w:rPr>
          <w:rFonts w:ascii="Times New Roman" w:eastAsia="Times New Roman" w:hAnsi="Times New Roman" w:cs="Times New Roman"/>
          <w:sz w:val="24"/>
          <w:szCs w:val="24"/>
          <w:lang w:eastAsia="hu-HU"/>
        </w:rPr>
        <w:t xml:space="preserve"> közjegyzőnek közokiratba kell foglalnia (ügyvéd helyett az alapítók bármelyikének jogtanácsosa is eljárhat).</w:t>
      </w:r>
    </w:p>
    <w:p w14:paraId="7B4641FC"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515E6060" w14:textId="77777777" w:rsidR="00CC5656" w:rsidRPr="00664213" w:rsidRDefault="00CC5656" w:rsidP="00EC10C5">
      <w:pPr>
        <w:pStyle w:val="Stlus1"/>
        <w:rPr>
          <w:rFonts w:eastAsia="Times New Roman"/>
          <w:lang w:eastAsia="hu-HU"/>
        </w:rPr>
      </w:pPr>
      <w:bookmarkStart w:id="309" w:name="_Toc2761119"/>
      <w:bookmarkStart w:id="310" w:name="_Toc13138771"/>
      <w:r w:rsidRPr="00664213">
        <w:rPr>
          <w:rFonts w:eastAsia="Times New Roman"/>
          <w:lang w:eastAsia="hu-HU"/>
        </w:rPr>
        <w:t>A társaság vagyona</w:t>
      </w:r>
      <w:bookmarkEnd w:id="309"/>
      <w:bookmarkEnd w:id="310"/>
    </w:p>
    <w:p w14:paraId="2CA41838"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gazdasági társaság </w:t>
      </w:r>
      <w:r w:rsidRPr="00664213">
        <w:rPr>
          <w:rFonts w:ascii="Times New Roman" w:eastAsia="Times New Roman" w:hAnsi="Times New Roman" w:cs="Times New Roman"/>
          <w:i/>
          <w:sz w:val="24"/>
          <w:szCs w:val="24"/>
          <w:lang w:eastAsia="hu-HU"/>
        </w:rPr>
        <w:t>üzletszerű közös gazdasági tevékenység</w:t>
      </w:r>
      <w:r w:rsidRPr="00664213">
        <w:rPr>
          <w:rFonts w:ascii="Times New Roman" w:eastAsia="Times New Roman" w:hAnsi="Times New Roman" w:cs="Times New Roman"/>
          <w:sz w:val="24"/>
          <w:szCs w:val="24"/>
          <w:lang w:eastAsia="hu-HU"/>
        </w:rPr>
        <w:t xml:space="preserve">re irányul, ezért szükségképp – ellentétben a polgári jogi társasággal – a gazdasági társaságnak mindig van </w:t>
      </w:r>
      <w:r w:rsidRPr="00664213">
        <w:rPr>
          <w:rFonts w:ascii="Times New Roman" w:eastAsia="Times New Roman" w:hAnsi="Times New Roman" w:cs="Times New Roman"/>
          <w:i/>
          <w:iCs/>
          <w:sz w:val="24"/>
          <w:szCs w:val="24"/>
          <w:lang w:eastAsia="hu-HU"/>
        </w:rPr>
        <w:t>vagyona</w:t>
      </w:r>
      <w:r w:rsidRPr="00664213">
        <w:rPr>
          <w:rFonts w:ascii="Times New Roman" w:eastAsia="Times New Roman" w:hAnsi="Times New Roman" w:cs="Times New Roman"/>
          <w:sz w:val="24"/>
          <w:szCs w:val="24"/>
          <w:lang w:eastAsia="hu-HU"/>
        </w:rPr>
        <w:t xml:space="preserve"> és ezt a társasági szerződésben meg kell határozni. A legegyszerűbb gazdasági </w:t>
      </w:r>
      <w:r w:rsidRPr="00664213">
        <w:rPr>
          <w:rFonts w:ascii="Times New Roman" w:eastAsia="Times New Roman" w:hAnsi="Times New Roman" w:cs="Times New Roman"/>
          <w:sz w:val="24"/>
          <w:szCs w:val="24"/>
          <w:lang w:eastAsia="hu-HU"/>
        </w:rPr>
        <w:lastRenderedPageBreak/>
        <w:t xml:space="preserve">társaságoknál (így a </w:t>
      </w:r>
      <w:proofErr w:type="spellStart"/>
      <w:r w:rsidRPr="00664213">
        <w:rPr>
          <w:rFonts w:ascii="Times New Roman" w:eastAsia="Times New Roman" w:hAnsi="Times New Roman" w:cs="Times New Roman"/>
          <w:sz w:val="24"/>
          <w:szCs w:val="24"/>
          <w:lang w:eastAsia="hu-HU"/>
        </w:rPr>
        <w:t>kkt.-nél</w:t>
      </w:r>
      <w:proofErr w:type="spellEnd"/>
      <w:r w:rsidRPr="00664213">
        <w:rPr>
          <w:rFonts w:ascii="Times New Roman" w:eastAsia="Times New Roman" w:hAnsi="Times New Roman" w:cs="Times New Roman"/>
          <w:sz w:val="24"/>
          <w:szCs w:val="24"/>
          <w:lang w:eastAsia="hu-HU"/>
        </w:rPr>
        <w:t xml:space="preserve"> és a bt.-nél) is kötelező része a társasági szerződésnek a vagyon meghatározása, a korlátolt felelősséggel működő társaságoknál pedig a Gt. vagyoni minimumot is meghatároz. 1997–2007 között kft.-nél 3 millió, zártan működő rt.-nél 10 millió, nyilvánosan működő rt.-nél 20 millió Ft volt a kötelező törzs(alap)tőke-minimum. 2007-ben a </w:t>
      </w:r>
      <w:proofErr w:type="spellStart"/>
      <w:r w:rsidRPr="00664213">
        <w:rPr>
          <w:rFonts w:ascii="Times New Roman" w:eastAsia="Times New Roman" w:hAnsi="Times New Roman" w:cs="Times New Roman"/>
          <w:sz w:val="24"/>
          <w:szCs w:val="24"/>
          <w:lang w:eastAsia="hu-HU"/>
        </w:rPr>
        <w:t>Ctv</w:t>
      </w:r>
      <w:proofErr w:type="spellEnd"/>
      <w:r w:rsidRPr="00664213">
        <w:rPr>
          <w:rFonts w:ascii="Times New Roman" w:eastAsia="Times New Roman" w:hAnsi="Times New Roman" w:cs="Times New Roman"/>
          <w:sz w:val="24"/>
          <w:szCs w:val="24"/>
          <w:lang w:eastAsia="hu-HU"/>
        </w:rPr>
        <w:t>. novella jelentős csökkentést hajtott végre, nevezetesen a kft.-nél 500 000 Ft lett a törzstőke-minimum, zártan működő rt.-nél 5 millió Ft-ra szállították le az alaptőke-minimumot, a nyilvánosan működőknél pedig maradt a 20 millió Ft. Mint látni fogjuk, a Ptk. a kft.-nél a törzstőke-minimumot ismét 3 millió Ft-ra emelte (Ptk. 3:160. §), az rt. alaptőke-minimumok a jelenlegihez képest nem változtak.</w:t>
      </w:r>
    </w:p>
    <w:p w14:paraId="2E41F1EA"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w:t>
      </w:r>
      <w:r w:rsidRPr="00664213">
        <w:rPr>
          <w:rFonts w:ascii="Times New Roman" w:eastAsia="Times New Roman" w:hAnsi="Times New Roman" w:cs="Times New Roman"/>
          <w:i/>
          <w:sz w:val="24"/>
          <w:szCs w:val="24"/>
          <w:lang w:eastAsia="hu-HU"/>
        </w:rPr>
        <w:t>társaság vagyonát</w:t>
      </w:r>
      <w:r w:rsidRPr="00664213">
        <w:rPr>
          <w:rFonts w:ascii="Times New Roman" w:eastAsia="Times New Roman" w:hAnsi="Times New Roman" w:cs="Times New Roman"/>
          <w:sz w:val="24"/>
          <w:szCs w:val="24"/>
          <w:lang w:eastAsia="hu-HU"/>
        </w:rPr>
        <w:t xml:space="preserve"> a tagoknak kell biztosítaniuk és minden egyes tag vagyoni hozzájárulásra köteles. A tagok vagyoni hozzájárulásai természetesen különböző mértékűek lehetnek, ez pedig főszabályként meghatározza a tag nyereségből való részesedése mértékét, illetve szavazati joga terjedelmét.</w:t>
      </w:r>
    </w:p>
    <w:p w14:paraId="32EA621E"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vagyoni hozzájárulás állhat </w:t>
      </w:r>
      <w:r w:rsidRPr="00664213">
        <w:rPr>
          <w:rFonts w:ascii="Times New Roman" w:eastAsia="Times New Roman" w:hAnsi="Times New Roman" w:cs="Times New Roman"/>
          <w:i/>
          <w:sz w:val="24"/>
          <w:szCs w:val="24"/>
          <w:lang w:eastAsia="hu-HU"/>
        </w:rPr>
        <w:t>pénzből és nem pénzbeli hozzájárulásból</w:t>
      </w:r>
      <w:r w:rsidRPr="00664213">
        <w:rPr>
          <w:rFonts w:ascii="Times New Roman" w:eastAsia="Times New Roman" w:hAnsi="Times New Roman" w:cs="Times New Roman"/>
          <w:sz w:val="24"/>
          <w:szCs w:val="24"/>
          <w:lang w:eastAsia="hu-HU"/>
        </w:rPr>
        <w:t xml:space="preserve">, ez utóbbit nevezzük </w:t>
      </w:r>
      <w:r w:rsidRPr="00664213">
        <w:rPr>
          <w:rFonts w:ascii="Times New Roman" w:eastAsia="Times New Roman" w:hAnsi="Times New Roman" w:cs="Times New Roman"/>
          <w:i/>
          <w:iCs/>
          <w:sz w:val="24"/>
          <w:szCs w:val="24"/>
          <w:lang w:eastAsia="hu-HU"/>
        </w:rPr>
        <w:t>apportnak</w:t>
      </w:r>
      <w:r w:rsidRPr="00664213">
        <w:rPr>
          <w:rFonts w:ascii="Times New Roman" w:eastAsia="Times New Roman" w:hAnsi="Times New Roman" w:cs="Times New Roman"/>
          <w:sz w:val="24"/>
          <w:szCs w:val="24"/>
          <w:lang w:eastAsia="hu-HU"/>
        </w:rPr>
        <w:t>. Alapvető kérdés, hogy mi minősül apportnak. Általában az mondható, hogy minden forgalomképes és vagyoni értékkel bíró testi tárgy, szellemi alkotás vagy jog apportálható A vagyoni értékű jogoknál a Ptk. a társasági jogban kifejezetten rendelkezik a követelésekről, amelyek akkor képezhetnek apportot, ha azt az adós elismerte vagy jogerős bírósági határozaton alapul. A tag személyes közreműködése, szolgáltatásra irányuló kötelezettségvállalása nem minősülhet apportnak.</w:t>
      </w:r>
    </w:p>
    <w:p w14:paraId="64C2F702"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Az apport főszabályként a társaság </w:t>
      </w:r>
      <w:r w:rsidRPr="00664213">
        <w:rPr>
          <w:rFonts w:ascii="Times New Roman" w:eastAsia="Times New Roman" w:hAnsi="Times New Roman" w:cs="Times New Roman"/>
          <w:i/>
          <w:iCs/>
          <w:sz w:val="24"/>
          <w:szCs w:val="24"/>
          <w:lang w:eastAsia="hu-HU"/>
        </w:rPr>
        <w:t>tulajdonába</w:t>
      </w:r>
      <w:r w:rsidRPr="00664213">
        <w:rPr>
          <w:rFonts w:ascii="Times New Roman" w:eastAsia="Times New Roman" w:hAnsi="Times New Roman" w:cs="Times New Roman"/>
          <w:sz w:val="24"/>
          <w:szCs w:val="24"/>
          <w:lang w:eastAsia="hu-HU"/>
        </w:rPr>
        <w:t xml:space="preserve"> kerül. A számviteli jogszabályok emellett általában előírják az apport értéke könyvvizsgáló általi megállapítását, a társaság tagjai az apport értékét a könyvvizsgáló által megállapított értéknél magasabban nem állapíthatják meg. Ha az apport társaságra való átruházáskori értéke nem éri el ténylegesen a társasági szerződésben szereplő értéket, úgy a különbözetet a társaság az átruházástól számított öt éven belül visszakövetelheti a tagtól. Azok a tagok pedig, akik valamely tag apportját tudomásuk ellenére a szolgáltatáskori értéket meghaladó értéken fogadták el, és ezzel a társaságnak kárt okoztak, e kárért a szerződésszegés szabályai szerint az apportot szolgáltató taggal együtt egyetemlegesen felelnek (Ptk. 3:99. §). Ettől a szabálytól a társasági szerződésben való eltérés semmis. Az apport értéke különösen a korlátolt felelősséggel működő társaságoknál (kft., rt.) jelentős, ezért a törvény ezen társaságoknál az apportra többletszabályokat állapíthat meg, így pl. meghatározhatja a pénzbeli és nem pénzbeli hozzájárulás arányát stb. (A Ptk. most a részvénytársaságoknál visszaállította a 30–70%-os kötelező arányt.)</w:t>
      </w:r>
    </w:p>
    <w:p w14:paraId="268AE6F6"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gazdasági társaság vagyon nélkül nem működhet, ezért a gazdasági társaságok egyes fajainál előírt szabályok szerint a vagyoni hozzájárulást a tagoknál általában a társaság cégbejegyzéséig szolgáltatniuk kell, de a társasági szerződés – ha törvény nem tiltja – erre hosszabb időtartamot is megállapíthat. Ha pedig a tag a társasági szerződésben megállapított időpontig vállalt vagyoni hozzájárulását nem teljesíti, és ezt a hiányt a társaság ügyvezetésének felhívására 30 napos póthatáridőn belül nem pótolja, a tag tagsági jogviszonya a póthatáridő lejártát követő napon </w:t>
      </w:r>
      <w:r w:rsidRPr="00664213">
        <w:rPr>
          <w:rFonts w:ascii="Times New Roman" w:eastAsia="Times New Roman" w:hAnsi="Times New Roman" w:cs="Times New Roman"/>
          <w:i/>
          <w:iCs/>
          <w:sz w:val="24"/>
          <w:szCs w:val="24"/>
          <w:lang w:eastAsia="hu-HU"/>
        </w:rPr>
        <w:t>megszűnik</w:t>
      </w:r>
      <w:r w:rsidRPr="00664213">
        <w:rPr>
          <w:rFonts w:ascii="Times New Roman" w:eastAsia="Times New Roman" w:hAnsi="Times New Roman" w:cs="Times New Roman"/>
          <w:sz w:val="24"/>
          <w:szCs w:val="24"/>
          <w:lang w:eastAsia="hu-HU"/>
        </w:rPr>
        <w:t xml:space="preserve"> (Ptk. 3:98. §). E szabálytól a társasági szerződés nem térhet el, az eltérés semmis. A tagot tehát ez esetben a társaságból nem zárják ki, hanem tagsági jogviszonya törvényi rendelkezés alapján automatikusan megszűnik.</w:t>
      </w:r>
      <w:r w:rsidRPr="00664213">
        <w:rPr>
          <w:rFonts w:ascii="Times New Roman" w:eastAsia="Times New Roman" w:hAnsi="Times New Roman" w:cs="Times New Roman"/>
          <w:sz w:val="24"/>
          <w:szCs w:val="24"/>
          <w:lang w:eastAsia="hu-HU"/>
        </w:rPr>
        <w:tab/>
      </w:r>
    </w:p>
    <w:p w14:paraId="39CB4009" w14:textId="77777777" w:rsidR="009A244E" w:rsidRDefault="009A244E" w:rsidP="00EC10C5">
      <w:pPr>
        <w:pStyle w:val="Stlus1"/>
        <w:rPr>
          <w:rFonts w:eastAsia="Times New Roman"/>
          <w:lang w:eastAsia="hu-HU"/>
        </w:rPr>
      </w:pPr>
      <w:bookmarkStart w:id="311" w:name="_Toc13138772"/>
      <w:bookmarkStart w:id="312" w:name="_Toc2761121"/>
    </w:p>
    <w:p w14:paraId="45647CD9" w14:textId="77777777" w:rsidR="00CC5656" w:rsidRPr="00664213" w:rsidRDefault="00CC5656" w:rsidP="00EC10C5">
      <w:pPr>
        <w:pStyle w:val="Stlus1"/>
        <w:rPr>
          <w:rFonts w:eastAsia="Times New Roman"/>
          <w:lang w:eastAsia="hu-HU"/>
        </w:rPr>
      </w:pPr>
      <w:r w:rsidRPr="00664213">
        <w:rPr>
          <w:rFonts w:eastAsia="Times New Roman"/>
          <w:lang w:eastAsia="hu-HU"/>
        </w:rPr>
        <w:t>A cégbejegyzés eljárás fajtái, menete</w:t>
      </w:r>
      <w:bookmarkEnd w:id="311"/>
      <w:bookmarkEnd w:id="312"/>
    </w:p>
    <w:p w14:paraId="3B167A08"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cégbejegyzési teljes mértékben elektronizált, un. „</w:t>
      </w:r>
      <w:r w:rsidRPr="00664213">
        <w:rPr>
          <w:rFonts w:ascii="Times New Roman" w:eastAsia="Times New Roman" w:hAnsi="Times New Roman" w:cs="Times New Roman"/>
          <w:i/>
          <w:sz w:val="24"/>
          <w:szCs w:val="24"/>
          <w:lang w:eastAsia="hu-HU"/>
        </w:rPr>
        <w:t xml:space="preserve">nem peres </w:t>
      </w:r>
      <w:proofErr w:type="gramStart"/>
      <w:r w:rsidRPr="00664213">
        <w:rPr>
          <w:rFonts w:ascii="Times New Roman" w:eastAsia="Times New Roman" w:hAnsi="Times New Roman" w:cs="Times New Roman"/>
          <w:i/>
          <w:sz w:val="24"/>
          <w:szCs w:val="24"/>
          <w:lang w:eastAsia="hu-HU"/>
        </w:rPr>
        <w:t>eljárás</w:t>
      </w:r>
      <w:r w:rsidRPr="00664213">
        <w:rPr>
          <w:rFonts w:ascii="Times New Roman" w:eastAsia="Times New Roman" w:hAnsi="Times New Roman" w:cs="Times New Roman"/>
          <w:sz w:val="24"/>
          <w:szCs w:val="24"/>
          <w:lang w:eastAsia="hu-HU"/>
        </w:rPr>
        <w:t>”-</w:t>
      </w:r>
      <w:proofErr w:type="gramEnd"/>
      <w:r w:rsidRPr="00664213">
        <w:rPr>
          <w:rFonts w:ascii="Times New Roman" w:eastAsia="Times New Roman" w:hAnsi="Times New Roman" w:cs="Times New Roman"/>
          <w:sz w:val="24"/>
          <w:szCs w:val="24"/>
          <w:lang w:eastAsia="hu-HU"/>
        </w:rPr>
        <w:t xml:space="preserve">t a </w:t>
      </w:r>
      <w:r w:rsidRPr="00664213">
        <w:rPr>
          <w:rFonts w:ascii="Times New Roman" w:eastAsia="Times New Roman" w:hAnsi="Times New Roman" w:cs="Times New Roman"/>
          <w:i/>
          <w:sz w:val="24"/>
          <w:szCs w:val="24"/>
          <w:lang w:eastAsia="hu-HU"/>
        </w:rPr>
        <w:t>cégbíróság</w:t>
      </w:r>
      <w:r w:rsidRPr="00664213">
        <w:rPr>
          <w:rFonts w:ascii="Times New Roman" w:eastAsia="Times New Roman" w:hAnsi="Times New Roman" w:cs="Times New Roman"/>
          <w:sz w:val="24"/>
          <w:szCs w:val="24"/>
          <w:lang w:eastAsia="hu-HU"/>
        </w:rPr>
        <w:t xml:space="preserve"> folytatja le, a </w:t>
      </w:r>
      <w:proofErr w:type="spellStart"/>
      <w:r w:rsidRPr="00664213">
        <w:rPr>
          <w:rFonts w:ascii="Times New Roman" w:eastAsia="Times New Roman" w:hAnsi="Times New Roman" w:cs="Times New Roman"/>
          <w:i/>
          <w:sz w:val="24"/>
          <w:szCs w:val="24"/>
          <w:lang w:eastAsia="hu-HU"/>
        </w:rPr>
        <w:t>Ctv</w:t>
      </w:r>
      <w:proofErr w:type="spellEnd"/>
      <w:r w:rsidRPr="00664213">
        <w:rPr>
          <w:rFonts w:ascii="Times New Roman" w:eastAsia="Times New Roman" w:hAnsi="Times New Roman" w:cs="Times New Roman"/>
          <w:i/>
          <w:sz w:val="24"/>
          <w:szCs w:val="24"/>
          <w:lang w:eastAsia="hu-HU"/>
        </w:rPr>
        <w:t>. szabályai szerint</w:t>
      </w:r>
      <w:r w:rsidRPr="00664213">
        <w:rPr>
          <w:rFonts w:ascii="Times New Roman" w:eastAsia="Times New Roman" w:hAnsi="Times New Roman" w:cs="Times New Roman"/>
          <w:sz w:val="24"/>
          <w:szCs w:val="24"/>
          <w:lang w:eastAsia="hu-HU"/>
        </w:rPr>
        <w:t xml:space="preserve">. A cégbejegyzési eljárásban jogi képviselő igénybevétele kötelező, okirati bizonyításon kívül más bizonyításnak helye nincs. </w:t>
      </w:r>
    </w:p>
    <w:p w14:paraId="68545FA4"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lastRenderedPageBreak/>
        <w:t xml:space="preserve">A cégbejegyzési eljárás jelentősen megrövidült. A cégbíróság a </w:t>
      </w:r>
      <w:proofErr w:type="gramStart"/>
      <w:r w:rsidRPr="00664213">
        <w:rPr>
          <w:rFonts w:ascii="Times New Roman" w:eastAsia="Times New Roman" w:hAnsi="Times New Roman" w:cs="Times New Roman"/>
          <w:sz w:val="24"/>
          <w:szCs w:val="24"/>
          <w:lang w:eastAsia="hu-HU"/>
        </w:rPr>
        <w:t>benyújtott  cégbejegyzési</w:t>
      </w:r>
      <w:proofErr w:type="gramEnd"/>
      <w:r w:rsidRPr="00664213">
        <w:rPr>
          <w:rFonts w:ascii="Times New Roman" w:eastAsia="Times New Roman" w:hAnsi="Times New Roman" w:cs="Times New Roman"/>
          <w:sz w:val="24"/>
          <w:szCs w:val="24"/>
          <w:lang w:eastAsia="hu-HU"/>
        </w:rPr>
        <w:t xml:space="preserve"> kérelmet „normatív feltételek mentén” vizsgálja, és dönt a bejegyzésről, vagy annak elutasításáról. A – normatív feltételek mentén lefolytatott - tartalmi vizsgálat alapján a cégbíróság hiánypótlást rendelhet el, amennyiben a kérelem, vagy annak melléklete nem felel meg a jogszabályi rendelkezéseknek. Ha hiánypótlásra nincs szükség (vagy a hiányosság nem orvosolható), akkor a bíróság a bejegyzési kérem beérkezésétől számított 15 munkanapon belül érdemben dönt a társaság cégnyilvántartásba történő bejegyzéséről, vagy a kérelem elutasításáról. Ha ezen törvényi határidő lejártával nem születik döntés, úgy ezt követően a cégbíróság vezetője 3 munkanapon belül intézkedik a cég bejegyzéséről vagy a kérelem elutasításáról. Amennyiben a cégbíróság vezetőjének döntésére rendelkezésre álló 3 munkanap is eredménytelenül telik el, akkor a következő munkanapon a cég automatikus bejegyzéssel bekerül a cégjegyzékbe (</w:t>
      </w:r>
      <w:r w:rsidRPr="00664213">
        <w:rPr>
          <w:rFonts w:ascii="Times New Roman" w:eastAsia="Times New Roman" w:hAnsi="Times New Roman" w:cs="Times New Roman"/>
          <w:i/>
          <w:sz w:val="24"/>
          <w:szCs w:val="24"/>
          <w:lang w:eastAsia="hu-HU"/>
        </w:rPr>
        <w:t>automatikus bejegyzés</w:t>
      </w:r>
      <w:r w:rsidRPr="00664213">
        <w:rPr>
          <w:rFonts w:ascii="Times New Roman" w:eastAsia="Times New Roman" w:hAnsi="Times New Roman" w:cs="Times New Roman"/>
          <w:sz w:val="24"/>
          <w:szCs w:val="24"/>
          <w:lang w:eastAsia="hu-HU"/>
        </w:rPr>
        <w:t>).</w:t>
      </w:r>
    </w:p>
    <w:p w14:paraId="07E6158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Közkereseti társaság, betéti társaság vagy korlátolt felelősségű társaság, illetve zártkörűen működő részvénytársaság alapítása esetén lehetőség van arra, hogy a gazdasági társaság létesítő okirata (társasági szerződés, alapító okirat) </w:t>
      </w:r>
      <w:r w:rsidRPr="00664213">
        <w:rPr>
          <w:rFonts w:ascii="Times New Roman" w:eastAsia="Times New Roman" w:hAnsi="Times New Roman" w:cs="Times New Roman"/>
          <w:i/>
          <w:sz w:val="24"/>
          <w:szCs w:val="24"/>
          <w:lang w:eastAsia="hu-HU"/>
        </w:rPr>
        <w:t>jogszabályban rögzített szerződésminta</w:t>
      </w:r>
      <w:r w:rsidRPr="00664213">
        <w:rPr>
          <w:rFonts w:ascii="Times New Roman" w:eastAsia="Times New Roman" w:hAnsi="Times New Roman" w:cs="Times New Roman"/>
          <w:sz w:val="24"/>
          <w:szCs w:val="24"/>
          <w:lang w:eastAsia="hu-HU"/>
        </w:rPr>
        <w:t xml:space="preserve"> alkalmazásával készüljön</w:t>
      </w:r>
      <w:r w:rsidRPr="00664213">
        <w:rPr>
          <w:rFonts w:ascii="Times New Roman" w:eastAsia="Times New Roman" w:hAnsi="Times New Roman" w:cs="Times New Roman"/>
          <w:sz w:val="24"/>
          <w:szCs w:val="24"/>
          <w:vertAlign w:val="superscript"/>
          <w:lang w:eastAsia="hu-HU"/>
        </w:rPr>
        <w:footnoteReference w:id="8"/>
      </w:r>
      <w:r w:rsidRPr="00664213">
        <w:rPr>
          <w:rFonts w:ascii="Times New Roman" w:eastAsia="Times New Roman" w:hAnsi="Times New Roman" w:cs="Times New Roman"/>
          <w:sz w:val="24"/>
          <w:szCs w:val="24"/>
          <w:lang w:eastAsia="hu-HU"/>
        </w:rPr>
        <w:t xml:space="preserve">. Ha a társulóknak tehát megfelel a törvényi minta, és azt adataikkal kitöltik, akkor a </w:t>
      </w:r>
      <w:proofErr w:type="spellStart"/>
      <w:proofErr w:type="gramStart"/>
      <w:r w:rsidRPr="00664213">
        <w:rPr>
          <w:rFonts w:ascii="Times New Roman" w:eastAsia="Times New Roman" w:hAnsi="Times New Roman" w:cs="Times New Roman"/>
          <w:sz w:val="24"/>
          <w:szCs w:val="24"/>
          <w:lang w:eastAsia="hu-HU"/>
        </w:rPr>
        <w:t>Ctv</w:t>
      </w:r>
      <w:proofErr w:type="spellEnd"/>
      <w:r w:rsidRPr="00664213">
        <w:rPr>
          <w:rFonts w:ascii="Times New Roman" w:eastAsia="Times New Roman" w:hAnsi="Times New Roman" w:cs="Times New Roman"/>
          <w:sz w:val="24"/>
          <w:szCs w:val="24"/>
          <w:lang w:eastAsia="hu-HU"/>
        </w:rPr>
        <w:t>.-</w:t>
      </w:r>
      <w:proofErr w:type="gramEnd"/>
      <w:r w:rsidRPr="00664213">
        <w:rPr>
          <w:rFonts w:ascii="Times New Roman" w:eastAsia="Times New Roman" w:hAnsi="Times New Roman" w:cs="Times New Roman"/>
          <w:sz w:val="24"/>
          <w:szCs w:val="24"/>
          <w:lang w:eastAsia="hu-HU"/>
        </w:rPr>
        <w:t xml:space="preserve">ben szabályozott </w:t>
      </w:r>
      <w:r w:rsidRPr="00664213">
        <w:rPr>
          <w:rFonts w:ascii="Times New Roman" w:eastAsia="Times New Roman" w:hAnsi="Times New Roman" w:cs="Times New Roman"/>
          <w:i/>
          <w:sz w:val="24"/>
          <w:szCs w:val="24"/>
          <w:lang w:eastAsia="hu-HU"/>
        </w:rPr>
        <w:t>egyszerűsített cégeljárásra</w:t>
      </w:r>
      <w:r w:rsidRPr="00664213">
        <w:rPr>
          <w:rFonts w:ascii="Times New Roman" w:eastAsia="Times New Roman" w:hAnsi="Times New Roman" w:cs="Times New Roman"/>
          <w:sz w:val="24"/>
          <w:szCs w:val="24"/>
          <w:lang w:eastAsia="hu-HU"/>
        </w:rPr>
        <w:t xml:space="preserve"> kerül sor. A szerződésminta tartalmához a társulók nem nyúlhatnak hozzá, azt változatlan tartalommal kell átvenniük (lényegében csak az egyedi adatokkal való kitöltés, illetve a szűk körben felkínált szöveges alternatívák közti választás megjelölésével alakul ki az okirat tartalma). A szerződésminta a legegyszerűbb törvényi kötelező megoldásokat tartalmazza – sok </w:t>
      </w:r>
      <w:proofErr w:type="spellStart"/>
      <w:r w:rsidRPr="00664213">
        <w:rPr>
          <w:rFonts w:ascii="Times New Roman" w:eastAsia="Times New Roman" w:hAnsi="Times New Roman" w:cs="Times New Roman"/>
          <w:sz w:val="24"/>
          <w:szCs w:val="24"/>
          <w:lang w:eastAsia="hu-HU"/>
        </w:rPr>
        <w:t>mikro</w:t>
      </w:r>
      <w:proofErr w:type="spellEnd"/>
      <w:r w:rsidRPr="00664213">
        <w:rPr>
          <w:rFonts w:ascii="Times New Roman" w:eastAsia="Times New Roman" w:hAnsi="Times New Roman" w:cs="Times New Roman"/>
          <w:sz w:val="24"/>
          <w:szCs w:val="24"/>
          <w:lang w:eastAsia="hu-HU"/>
        </w:rPr>
        <w:t xml:space="preserve">- és kisvállalkozásnál azonban a tagok számára ez elégséges, megfelelő. Természetesen a minta igénybevétele nem kötelező (csak abban az esetben, ha a felek az egyszerűsített bejegyzési eljárást kívánják választani). </w:t>
      </w:r>
    </w:p>
    <w:p w14:paraId="7CD90FC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2E3E9A10" w14:textId="77777777" w:rsidR="00CC5656" w:rsidRPr="00664213" w:rsidRDefault="00CC5656" w:rsidP="00EC10C5">
      <w:pPr>
        <w:pStyle w:val="Stlus1"/>
        <w:rPr>
          <w:rFonts w:eastAsia="Times New Roman"/>
          <w:lang w:eastAsia="hu-HU"/>
        </w:rPr>
      </w:pPr>
      <w:bookmarkStart w:id="313" w:name="_Toc2761122"/>
      <w:bookmarkStart w:id="314" w:name="_Toc13138773"/>
      <w:r w:rsidRPr="00664213">
        <w:rPr>
          <w:rFonts w:eastAsia="Times New Roman"/>
          <w:lang w:eastAsia="hu-HU"/>
        </w:rPr>
        <w:t>A társaság bejegyzése</w:t>
      </w:r>
      <w:bookmarkEnd w:id="313"/>
      <w:bookmarkEnd w:id="314"/>
    </w:p>
    <w:p w14:paraId="32A912C8"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bejegyző végzés jogerőre emelkedésével végződik a gazdasági társaság alapítása, ugyanis a társaság a cégjegyzékbe való bejegyzéssel a bejegyzés napjával jön létre. A cégbejegyzést elutasító végzés ellen a kérelmező fellebbezhet, a bejegyző végzés ellen fellebbezésnek nincs helye, de az ügyész a jelenlegi szabályozás szerint, illetve a jogi érdekelt a végzés hatályon kívül helyezése iránt pert indíthat a bejegyző végzés Cégközlönyben való megjelenésétől számított 30 napos jogvesztő határidőn belül.</w:t>
      </w:r>
    </w:p>
    <w:p w14:paraId="1B425AA0"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Az üzleti élet biztonsága megköveteli, hogy amennyiben a gazdasági társaságot a cégjegyzékbe jogerősen bejegyezték, úgy a társasági szerződés érvénytelenségére csak szélsőségesen </w:t>
      </w:r>
      <w:proofErr w:type="gramStart"/>
      <w:r w:rsidRPr="00664213">
        <w:rPr>
          <w:rFonts w:ascii="Times New Roman" w:eastAsia="Times New Roman" w:hAnsi="Times New Roman" w:cs="Times New Roman"/>
          <w:sz w:val="24"/>
          <w:szCs w:val="24"/>
          <w:lang w:eastAsia="hu-HU"/>
        </w:rPr>
        <w:t>kivételes esetekben</w:t>
      </w:r>
      <w:proofErr w:type="gramEnd"/>
      <w:r w:rsidRPr="00664213">
        <w:rPr>
          <w:rFonts w:ascii="Times New Roman" w:eastAsia="Times New Roman" w:hAnsi="Times New Roman" w:cs="Times New Roman"/>
          <w:sz w:val="24"/>
          <w:szCs w:val="24"/>
          <w:lang w:eastAsia="hu-HU"/>
        </w:rPr>
        <w:t xml:space="preserve"> lehessen hivatkozni. Ezt igényelte a tagállamoktól az Európai Unió 1. számú társasági jogi irányelve is. A társasági szerződés érvénytelenségére a jogerős cégbejegyzésig a Ptk. érvénytelen szerződésekre vonatkozó általános szabályait kell alkalmazni, azaz a társasági szerződés is pl. akarathibák (megtévesztés stb.) miatt ebben a szakaszban még megtámadható. A jogerős cégbejegyzés után azonban a törlési per indítására nincs lehetőség (a Ptk. a korábbi szabályokon ezzel jelentősen szigorított).</w:t>
      </w:r>
    </w:p>
    <w:p w14:paraId="5B9B690A"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74199852" w14:textId="77777777" w:rsidR="00CC5656" w:rsidRPr="00664213" w:rsidRDefault="00CC5656" w:rsidP="00EC10C5">
      <w:pPr>
        <w:pStyle w:val="Stlus3"/>
      </w:pPr>
      <w:bookmarkStart w:id="315" w:name="_Toc2761123"/>
      <w:bookmarkStart w:id="316" w:name="_Toc13138774"/>
      <w:r>
        <w:t>D</w:t>
      </w:r>
      <w:r w:rsidRPr="00664213">
        <w:t>.2. A társasági szerződés módosítása</w:t>
      </w:r>
      <w:bookmarkEnd w:id="315"/>
      <w:bookmarkEnd w:id="316"/>
    </w:p>
    <w:p w14:paraId="14F56D04"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szerződés a felek közös akaratából jött létre és ebből szükségképp következik a polgári jogi főszabály: a szerződés csak a felek egyetértésével módosítható. A társasági szerződés különlegességéből adódik, hogy nincs szükség a társasági szerződés írásbeli módisítására, hanem főszabályként a társasági szerződést (azaz a társaság létesítő okiratát) a </w:t>
      </w:r>
      <w:r w:rsidRPr="00664213">
        <w:rPr>
          <w:rFonts w:ascii="Times New Roman" w:eastAsia="Times New Roman" w:hAnsi="Times New Roman" w:cs="Times New Roman"/>
          <w:sz w:val="24"/>
          <w:szCs w:val="24"/>
          <w:lang w:eastAsia="hu-HU"/>
        </w:rPr>
        <w:lastRenderedPageBreak/>
        <w:t>tag(köz)gyűlés legalább háromnegyedes többségével is módosíthatják (természetesen szerződéssel is lehet módosítani). E főszabály alóli kivételek:</w:t>
      </w:r>
    </w:p>
    <w:p w14:paraId="2663E33C" w14:textId="77777777" w:rsidR="00CC5656" w:rsidRPr="00664213" w:rsidRDefault="00CC5656" w:rsidP="00EC10C5">
      <w:pPr>
        <w:pStyle w:val="Stlus2"/>
        <w:rPr>
          <w:rFonts w:eastAsia="Times New Roman"/>
          <w:lang w:eastAsia="hu-HU"/>
        </w:rPr>
      </w:pPr>
      <w:r w:rsidRPr="00664213">
        <w:rPr>
          <w:rFonts w:eastAsia="Times New Roman"/>
          <w:lang w:eastAsia="hu-HU"/>
        </w:rPr>
        <w:t>egyhangú döntésre van szükség, ha a módosítás valamely tag jogait hátrányosan érintené. Ebben az esetben az a tag is szavazhat, aki egyébként szavazati joggal nem rendelkezne (Ptk. 3:103. §);</w:t>
      </w:r>
    </w:p>
    <w:p w14:paraId="611131C9" w14:textId="77777777" w:rsidR="00CC5656" w:rsidRPr="00664213" w:rsidRDefault="00CC5656" w:rsidP="00EC10C5">
      <w:pPr>
        <w:pStyle w:val="Stlus2"/>
        <w:rPr>
          <w:rFonts w:eastAsia="Times New Roman"/>
          <w:lang w:eastAsia="hu-HU"/>
        </w:rPr>
      </w:pPr>
      <w:r w:rsidRPr="00664213">
        <w:rPr>
          <w:rFonts w:eastAsia="Times New Roman"/>
          <w:lang w:eastAsia="hu-HU"/>
        </w:rPr>
        <w:t xml:space="preserve">a </w:t>
      </w:r>
      <w:proofErr w:type="spellStart"/>
      <w:r w:rsidRPr="00664213">
        <w:rPr>
          <w:rFonts w:eastAsia="Times New Roman"/>
          <w:lang w:eastAsia="hu-HU"/>
        </w:rPr>
        <w:t>kkt.</w:t>
      </w:r>
      <w:proofErr w:type="spellEnd"/>
      <w:r w:rsidRPr="00664213">
        <w:rPr>
          <w:rFonts w:eastAsia="Times New Roman"/>
          <w:lang w:eastAsia="hu-HU"/>
        </w:rPr>
        <w:t xml:space="preserve"> és bt. társasági szerződése módosításához (Ptk. 3:143. §);</w:t>
      </w:r>
    </w:p>
    <w:p w14:paraId="6BAFE6AD" w14:textId="77777777" w:rsidR="00CC5656" w:rsidRPr="00664213" w:rsidRDefault="00CC5656" w:rsidP="00EC10C5">
      <w:pPr>
        <w:pStyle w:val="Stlus2"/>
        <w:rPr>
          <w:rFonts w:eastAsia="Times New Roman"/>
          <w:lang w:eastAsia="hu-HU"/>
        </w:rPr>
      </w:pPr>
      <w:r w:rsidRPr="00664213">
        <w:rPr>
          <w:rFonts w:eastAsia="Times New Roman"/>
          <w:lang w:eastAsia="hu-HU"/>
        </w:rPr>
        <w:t xml:space="preserve">a társaság cégnevének, székhelyének, telephelyének, fióktelepének és tőtevékenységének nem minősülő tevékenységi körének </w:t>
      </w:r>
      <w:proofErr w:type="spellStart"/>
      <w:r w:rsidRPr="00664213">
        <w:rPr>
          <w:rFonts w:eastAsia="Times New Roman"/>
          <w:lang w:eastAsia="hu-HU"/>
        </w:rPr>
        <w:t>megváltozatásához</w:t>
      </w:r>
      <w:proofErr w:type="spellEnd"/>
      <w:r w:rsidRPr="00664213">
        <w:rPr>
          <w:rFonts w:eastAsia="Times New Roman"/>
          <w:lang w:eastAsia="hu-HU"/>
        </w:rPr>
        <w:t xml:space="preserve"> a tag(köz)gyűlés egyszerű többséggel hozott határozata is elégséges.</w:t>
      </w:r>
    </w:p>
    <w:p w14:paraId="563161F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szerződésmódosítás </w:t>
      </w:r>
      <w:proofErr w:type="spellStart"/>
      <w:r w:rsidRPr="00664213">
        <w:rPr>
          <w:rFonts w:ascii="Times New Roman" w:eastAsia="Times New Roman" w:hAnsi="Times New Roman" w:cs="Times New Roman"/>
          <w:i/>
          <w:sz w:val="24"/>
          <w:szCs w:val="24"/>
          <w:lang w:eastAsia="hu-HU"/>
        </w:rPr>
        <w:t>cégjogilag</w:t>
      </w:r>
      <w:proofErr w:type="spellEnd"/>
      <w:r w:rsidRPr="00664213">
        <w:rPr>
          <w:rFonts w:ascii="Times New Roman" w:eastAsia="Times New Roman" w:hAnsi="Times New Roman" w:cs="Times New Roman"/>
          <w:sz w:val="24"/>
          <w:szCs w:val="24"/>
          <w:lang w:eastAsia="hu-HU"/>
        </w:rPr>
        <w:t xml:space="preserve"> az ún. </w:t>
      </w:r>
      <w:r w:rsidRPr="00664213">
        <w:rPr>
          <w:rFonts w:ascii="Times New Roman" w:eastAsia="Times New Roman" w:hAnsi="Times New Roman" w:cs="Times New Roman"/>
          <w:i/>
          <w:sz w:val="24"/>
          <w:szCs w:val="24"/>
          <w:lang w:eastAsia="hu-HU"/>
        </w:rPr>
        <w:t>változásbejegyzési eljárás</w:t>
      </w:r>
      <w:r w:rsidRPr="00664213">
        <w:rPr>
          <w:rFonts w:ascii="Times New Roman" w:eastAsia="Times New Roman" w:hAnsi="Times New Roman" w:cs="Times New Roman"/>
          <w:sz w:val="24"/>
          <w:szCs w:val="24"/>
          <w:lang w:eastAsia="hu-HU"/>
        </w:rPr>
        <w:t xml:space="preserve"> útján történik, amelyre a cégbíróság </w:t>
      </w:r>
      <w:r w:rsidRPr="00664213">
        <w:rPr>
          <w:rFonts w:ascii="Times New Roman" w:eastAsia="Times New Roman" w:hAnsi="Times New Roman" w:cs="Times New Roman"/>
          <w:i/>
          <w:sz w:val="24"/>
          <w:szCs w:val="24"/>
          <w:lang w:eastAsia="hu-HU"/>
        </w:rPr>
        <w:t>főszabályként az alapítási eljárás szabályait alkalmazza</w:t>
      </w:r>
      <w:r w:rsidRPr="00664213">
        <w:rPr>
          <w:rFonts w:ascii="Times New Roman" w:eastAsia="Times New Roman" w:hAnsi="Times New Roman" w:cs="Times New Roman"/>
          <w:sz w:val="24"/>
          <w:szCs w:val="24"/>
          <w:lang w:eastAsia="hu-HU"/>
        </w:rPr>
        <w:t xml:space="preserve">. A módosítás így általában a cégbejegyzéssel, a bejegyzés napjával (és nem a taggyűlés, illetve a szerződésmódosítás időpontjában) valósul meg. Ezen szabály alól azonban a </w:t>
      </w:r>
      <w:proofErr w:type="spellStart"/>
      <w:r w:rsidRPr="00664213">
        <w:rPr>
          <w:rFonts w:ascii="Times New Roman" w:eastAsia="Times New Roman" w:hAnsi="Times New Roman" w:cs="Times New Roman"/>
          <w:sz w:val="24"/>
          <w:szCs w:val="24"/>
          <w:lang w:eastAsia="hu-HU"/>
        </w:rPr>
        <w:t>Ctv</w:t>
      </w:r>
      <w:proofErr w:type="spellEnd"/>
      <w:r w:rsidRPr="00664213">
        <w:rPr>
          <w:rFonts w:ascii="Times New Roman" w:eastAsia="Times New Roman" w:hAnsi="Times New Roman" w:cs="Times New Roman"/>
          <w:sz w:val="24"/>
          <w:szCs w:val="24"/>
          <w:lang w:eastAsia="hu-HU"/>
        </w:rPr>
        <w:t>. kivételeket is megállapít, pl. a kft. ügyvezetőjének visszahívása és az új ügyvezető kinevezése már a taggyűlés napjától hatályos stb. Módosítás szerződésmintával nem lehetséges, a mintával kötött szerződésnél is a módosítás általános szabályait kell alkalmazni.</w:t>
      </w:r>
    </w:p>
    <w:p w14:paraId="3F877EB8"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4C1531B5" w14:textId="77777777" w:rsidR="00CC5656" w:rsidRPr="00664213" w:rsidRDefault="00CC5656" w:rsidP="00EC10C5">
      <w:pPr>
        <w:pStyle w:val="Stlus3"/>
      </w:pPr>
      <w:bookmarkStart w:id="317" w:name="_Toc2761124"/>
      <w:bookmarkStart w:id="318" w:name="_Toc13138775"/>
      <w:r>
        <w:t>D</w:t>
      </w:r>
      <w:r w:rsidRPr="00664213">
        <w:t>.3. A társaságok státuszváltása – Átalakulás, egyesülés, szétválás</w:t>
      </w:r>
      <w:bookmarkEnd w:id="317"/>
      <w:bookmarkEnd w:id="318"/>
    </w:p>
    <w:p w14:paraId="6420D6ED"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 társaság megalapítását követően átalakulhat, más jogi személlyel egyesülhet, illetve szétválással is megváltoztathatja korábbi jogi státuszát. </w:t>
      </w:r>
    </w:p>
    <w:p w14:paraId="5AE22AB2"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318CDE62" w14:textId="77777777" w:rsidR="00CC5656" w:rsidRPr="00664213" w:rsidRDefault="00CC5656" w:rsidP="00EC10C5">
      <w:pPr>
        <w:pStyle w:val="Stlus1"/>
        <w:rPr>
          <w:rFonts w:eastAsia="Times New Roman"/>
          <w:lang w:eastAsia="hu-HU"/>
        </w:rPr>
      </w:pPr>
      <w:bookmarkStart w:id="319" w:name="_Toc2761125"/>
      <w:bookmarkStart w:id="320" w:name="_Toc13138776"/>
      <w:r w:rsidRPr="00664213">
        <w:rPr>
          <w:rFonts w:eastAsia="Times New Roman"/>
          <w:lang w:eastAsia="hu-HU"/>
        </w:rPr>
        <w:t>Átalakulás – a társaság formaváltása</w:t>
      </w:r>
      <w:bookmarkEnd w:id="319"/>
      <w:bookmarkEnd w:id="320"/>
    </w:p>
    <w:p w14:paraId="043C28C7"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Az átalakulás lényege: </w:t>
      </w:r>
      <w:r w:rsidRPr="00664213">
        <w:rPr>
          <w:rFonts w:ascii="Times New Roman" w:eastAsia="Times New Roman" w:hAnsi="Times New Roman" w:cs="Times New Roman"/>
          <w:i/>
          <w:sz w:val="24"/>
          <w:szCs w:val="24"/>
          <w:lang w:eastAsia="hu-HU"/>
        </w:rPr>
        <w:t>társasági formaváltás</w:t>
      </w:r>
      <w:r w:rsidRPr="00664213">
        <w:rPr>
          <w:rFonts w:ascii="Times New Roman" w:eastAsia="Times New Roman" w:hAnsi="Times New Roman" w:cs="Times New Roman"/>
          <w:sz w:val="24"/>
          <w:szCs w:val="24"/>
          <w:lang w:eastAsia="hu-HU"/>
        </w:rPr>
        <w:t xml:space="preserve"> egyetemes jogutódlással. A régi társasági forma megszűnik, és a megszűnés pillanatában – amikor is a régi társaságot a cégbíróság törli a cégjegyzékből és az újat bejegyzi – új társaság keletkezik (pl. kft.-</w:t>
      </w:r>
      <w:proofErr w:type="spellStart"/>
      <w:r w:rsidRPr="00664213">
        <w:rPr>
          <w:rFonts w:ascii="Times New Roman" w:eastAsia="Times New Roman" w:hAnsi="Times New Roman" w:cs="Times New Roman"/>
          <w:sz w:val="24"/>
          <w:szCs w:val="24"/>
          <w:lang w:eastAsia="hu-HU"/>
        </w:rPr>
        <w:t>ből</w:t>
      </w:r>
      <w:proofErr w:type="spellEnd"/>
      <w:r w:rsidRPr="00664213">
        <w:rPr>
          <w:rFonts w:ascii="Times New Roman" w:eastAsia="Times New Roman" w:hAnsi="Times New Roman" w:cs="Times New Roman"/>
          <w:sz w:val="24"/>
          <w:szCs w:val="24"/>
          <w:lang w:eastAsia="hu-HU"/>
        </w:rPr>
        <w:t xml:space="preserve"> rt. vagy viszont).</w:t>
      </w:r>
    </w:p>
    <w:p w14:paraId="12F4FF3C"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Gazdasági társaság a Ptk. szerint más gazdasági társasággá, valamint egyesüléssé és szövetkezetté alakulhat át. Eddig szövetkezet a szövetkezetekről szóló 2006. évi X. törvény szabályai szerint alakulhatott át gazdasági társasággá, viszont gazdasági társaság szövetkezetté nem alakulhatott át. Most megnyílt az út a gazdasági társaságok szövetkezetté való átalakulása előtt is. Az átalakulásra (egyesülésre, szétválásra) vonatkozó részletes szabályokat a jogalkotó külön törvényben helyezte el (lásd a 2013. évi CLXXVI. törvényt az egyes jogi személyek átalakulásáról, egyesüléséről, szétválásáról).</w:t>
      </w:r>
    </w:p>
    <w:p w14:paraId="5BF0695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Az átalakulás </w:t>
      </w:r>
      <w:r w:rsidRPr="00664213">
        <w:rPr>
          <w:rFonts w:ascii="Times New Roman" w:eastAsia="Times New Roman" w:hAnsi="Times New Roman" w:cs="Times New Roman"/>
          <w:i/>
          <w:sz w:val="24"/>
          <w:szCs w:val="24"/>
          <w:lang w:eastAsia="hu-HU"/>
        </w:rPr>
        <w:t>egyszerre a régi társaság megszűnése és az új társaság megalapítása</w:t>
      </w:r>
      <w:r w:rsidRPr="00664213">
        <w:rPr>
          <w:rFonts w:ascii="Times New Roman" w:eastAsia="Times New Roman" w:hAnsi="Times New Roman" w:cs="Times New Roman"/>
          <w:sz w:val="24"/>
          <w:szCs w:val="24"/>
          <w:lang w:eastAsia="hu-HU"/>
        </w:rPr>
        <w:t>. A Ptk. 3:39. §-a szerint az átalakulásra mögöttes jogterületként az alapítás szabályait kell alkalmazni. A Ptk. 3:40. § minden jogi személynél meghatározza azokat az okokat, amelyek fennállása esetén nem lehet átalakulni. Így felszámolási vagy végelszámolási eljárás alatt álló gazdasági társaság nem alakulhat át. Az átalakulási folyamatban előtársaság nincs az átalakulóban lévő társaságnak iratain az átalakulás tényét azonban jelezni kell.</w:t>
      </w:r>
    </w:p>
    <w:p w14:paraId="31058EC3"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Az átalakulás útján létrejövő új társaságra átszáll a megszűnt társaság összes joga és kötelezettsége, </w:t>
      </w:r>
      <w:proofErr w:type="gramStart"/>
      <w:r w:rsidRPr="00664213">
        <w:rPr>
          <w:rFonts w:ascii="Times New Roman" w:eastAsia="Times New Roman" w:hAnsi="Times New Roman" w:cs="Times New Roman"/>
          <w:sz w:val="24"/>
          <w:szCs w:val="24"/>
          <w:lang w:eastAsia="hu-HU"/>
        </w:rPr>
        <w:t>ide értve</w:t>
      </w:r>
      <w:proofErr w:type="gramEnd"/>
      <w:r w:rsidRPr="00664213">
        <w:rPr>
          <w:rFonts w:ascii="Times New Roman" w:eastAsia="Times New Roman" w:hAnsi="Times New Roman" w:cs="Times New Roman"/>
          <w:sz w:val="24"/>
          <w:szCs w:val="24"/>
          <w:lang w:eastAsia="hu-HU"/>
        </w:rPr>
        <w:t xml:space="preserve"> a hatósági engedélyeket, a munkajogi jellegű jogokat és kötelezettségeket is (munkaszerződések, kollektív szerződés).</w:t>
      </w:r>
    </w:p>
    <w:p w14:paraId="3D42A11D"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b/>
      </w:r>
    </w:p>
    <w:p w14:paraId="402B99F2"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Az átalakulással kapcsolatban is problematikus – és ez az egyesülésre és a szétválásra is irányadó –, hogy a Ptk. sem a jogi személy általános részében, sem a gazdasági társaságok közös szabályainál nem mondja ki e szabályoktól való eltérés semmisségét. Magam részéről viszont úgy gondolom, hogy e szabályok kötelezőek, ezektől eltérni a társasági szerződésben nem lehet.</w:t>
      </w:r>
    </w:p>
    <w:p w14:paraId="63BDAC88"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lastRenderedPageBreak/>
        <w:t xml:space="preserve">A gazdasági társaság legfőbb szervének az átalakulásról </w:t>
      </w:r>
      <w:r w:rsidRPr="00664213">
        <w:rPr>
          <w:rFonts w:ascii="Times New Roman" w:eastAsia="Times New Roman" w:hAnsi="Times New Roman" w:cs="Times New Roman"/>
          <w:i/>
          <w:sz w:val="24"/>
          <w:szCs w:val="24"/>
          <w:lang w:eastAsia="hu-HU"/>
        </w:rPr>
        <w:t>főszabályként két alkalommal kell döntenie</w:t>
      </w:r>
      <w:r w:rsidRPr="00664213">
        <w:rPr>
          <w:rFonts w:ascii="Times New Roman" w:eastAsia="Times New Roman" w:hAnsi="Times New Roman" w:cs="Times New Roman"/>
          <w:sz w:val="24"/>
          <w:szCs w:val="24"/>
          <w:lang w:eastAsia="hu-HU"/>
        </w:rPr>
        <w:t>. A társasági szerződés azonban eltérhet a kettős (</w:t>
      </w:r>
      <w:r w:rsidRPr="00664213">
        <w:rPr>
          <w:rFonts w:ascii="Times New Roman" w:eastAsia="Times New Roman" w:hAnsi="Times New Roman" w:cs="Times New Roman"/>
          <w:i/>
          <w:sz w:val="24"/>
          <w:szCs w:val="24"/>
          <w:lang w:eastAsia="hu-HU"/>
        </w:rPr>
        <w:t>elvi döntés + konkrét döntés</w:t>
      </w:r>
      <w:r w:rsidRPr="00664213">
        <w:rPr>
          <w:rFonts w:ascii="Times New Roman" w:eastAsia="Times New Roman" w:hAnsi="Times New Roman" w:cs="Times New Roman"/>
          <w:sz w:val="24"/>
          <w:szCs w:val="24"/>
          <w:lang w:eastAsia="hu-HU"/>
        </w:rPr>
        <w:t xml:space="preserve">) konstrukciótól, és </w:t>
      </w:r>
      <w:r w:rsidRPr="00664213">
        <w:rPr>
          <w:rFonts w:ascii="Times New Roman" w:eastAsia="Times New Roman" w:hAnsi="Times New Roman" w:cs="Times New Roman"/>
          <w:i/>
          <w:sz w:val="24"/>
          <w:szCs w:val="24"/>
          <w:lang w:eastAsia="hu-HU"/>
        </w:rPr>
        <w:t>úgy is dönthet, hogy egy lépcsőben döntenek</w:t>
      </w:r>
      <w:r w:rsidRPr="00664213">
        <w:rPr>
          <w:rFonts w:ascii="Times New Roman" w:eastAsia="Times New Roman" w:hAnsi="Times New Roman" w:cs="Times New Roman"/>
          <w:sz w:val="24"/>
          <w:szCs w:val="24"/>
          <w:lang w:eastAsia="hu-HU"/>
        </w:rPr>
        <w:t xml:space="preserve"> az átalakulásról. Az átalakulásról szóló határozatot </w:t>
      </w:r>
      <w:r w:rsidRPr="00664213">
        <w:rPr>
          <w:rFonts w:ascii="Times New Roman" w:eastAsia="Times New Roman" w:hAnsi="Times New Roman" w:cs="Times New Roman"/>
          <w:i/>
          <w:sz w:val="24"/>
          <w:szCs w:val="24"/>
          <w:lang w:eastAsia="hu-HU"/>
        </w:rPr>
        <w:t>minősített</w:t>
      </w:r>
      <w:r w:rsidRPr="00664213">
        <w:rPr>
          <w:rFonts w:ascii="Times New Roman" w:eastAsia="Times New Roman" w:hAnsi="Times New Roman" w:cs="Times New Roman"/>
          <w:sz w:val="24"/>
          <w:szCs w:val="24"/>
          <w:lang w:eastAsia="hu-HU"/>
        </w:rPr>
        <w:t xml:space="preserve">, </w:t>
      </w:r>
      <w:r w:rsidRPr="00664213">
        <w:rPr>
          <w:rFonts w:ascii="Times New Roman" w:eastAsia="Times New Roman" w:hAnsi="Times New Roman" w:cs="Times New Roman"/>
          <w:i/>
          <w:sz w:val="24"/>
          <w:szCs w:val="24"/>
          <w:lang w:eastAsia="hu-HU"/>
        </w:rPr>
        <w:t>legalább háromnegyedes szótöbbséggel</w:t>
      </w:r>
      <w:r w:rsidRPr="00664213">
        <w:rPr>
          <w:rFonts w:ascii="Times New Roman" w:eastAsia="Times New Roman" w:hAnsi="Times New Roman" w:cs="Times New Roman"/>
          <w:sz w:val="24"/>
          <w:szCs w:val="24"/>
          <w:lang w:eastAsia="hu-HU"/>
        </w:rPr>
        <w:t xml:space="preserve"> kell meghozni.</w:t>
      </w:r>
    </w:p>
    <w:p w14:paraId="7E90D284"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Ha </w:t>
      </w:r>
      <w:r w:rsidRPr="00664213">
        <w:rPr>
          <w:rFonts w:ascii="Times New Roman" w:eastAsia="Times New Roman" w:hAnsi="Times New Roman" w:cs="Times New Roman"/>
          <w:i/>
          <w:sz w:val="24"/>
          <w:szCs w:val="24"/>
          <w:lang w:eastAsia="hu-HU"/>
        </w:rPr>
        <w:t>kétlépcsős az átalakulás, úgy az első döntés elvi jellegű</w:t>
      </w:r>
      <w:r w:rsidRPr="00664213">
        <w:rPr>
          <w:rFonts w:ascii="Times New Roman" w:eastAsia="Times New Roman" w:hAnsi="Times New Roman" w:cs="Times New Roman"/>
          <w:sz w:val="24"/>
          <w:szCs w:val="24"/>
          <w:lang w:eastAsia="hu-HU"/>
        </w:rPr>
        <w:t xml:space="preserve">. Egyetértő döntés esetén a társaság vezető tisztségviselői elkészítik az átalakulni kívánó gazdasági társaság </w:t>
      </w:r>
      <w:r w:rsidRPr="00664213">
        <w:rPr>
          <w:rFonts w:ascii="Times New Roman" w:eastAsia="Times New Roman" w:hAnsi="Times New Roman" w:cs="Times New Roman"/>
          <w:i/>
          <w:sz w:val="24"/>
          <w:szCs w:val="24"/>
          <w:lang w:eastAsia="hu-HU"/>
        </w:rPr>
        <w:t>átalakulása tervét,</w:t>
      </w:r>
      <w:r w:rsidRPr="00664213">
        <w:rPr>
          <w:rFonts w:ascii="Times New Roman" w:eastAsia="Times New Roman" w:hAnsi="Times New Roman" w:cs="Times New Roman"/>
          <w:sz w:val="24"/>
          <w:szCs w:val="24"/>
          <w:lang w:eastAsia="hu-HU"/>
        </w:rPr>
        <w:t xml:space="preserve"> amelynek leglényegesebb része a </w:t>
      </w:r>
      <w:r w:rsidRPr="00664213">
        <w:rPr>
          <w:rFonts w:ascii="Times New Roman" w:eastAsia="Times New Roman" w:hAnsi="Times New Roman" w:cs="Times New Roman"/>
          <w:i/>
          <w:sz w:val="24"/>
          <w:szCs w:val="24"/>
          <w:lang w:eastAsia="hu-HU"/>
        </w:rPr>
        <w:t>vagyonmérleg-tervezet,</w:t>
      </w:r>
      <w:r w:rsidRPr="00664213">
        <w:rPr>
          <w:rFonts w:ascii="Times New Roman" w:eastAsia="Times New Roman" w:hAnsi="Times New Roman" w:cs="Times New Roman"/>
          <w:sz w:val="24"/>
          <w:szCs w:val="24"/>
          <w:lang w:eastAsia="hu-HU"/>
        </w:rPr>
        <w:t xml:space="preserve"> amelyeket könyvvizsgálóval (ha pedig a társaságnál felügyelőbizottság működik, a felügyelőbizottsággal is) ellenőriztetni kell. A vagyonmérleget </w:t>
      </w:r>
      <w:proofErr w:type="spellStart"/>
      <w:r w:rsidRPr="00664213">
        <w:rPr>
          <w:rFonts w:ascii="Times New Roman" w:eastAsia="Times New Roman" w:hAnsi="Times New Roman" w:cs="Times New Roman"/>
          <w:sz w:val="24"/>
          <w:szCs w:val="24"/>
          <w:lang w:eastAsia="hu-HU"/>
        </w:rPr>
        <w:t>auditáló</w:t>
      </w:r>
      <w:proofErr w:type="spellEnd"/>
      <w:r w:rsidRPr="00664213">
        <w:rPr>
          <w:rFonts w:ascii="Times New Roman" w:eastAsia="Times New Roman" w:hAnsi="Times New Roman" w:cs="Times New Roman"/>
          <w:sz w:val="24"/>
          <w:szCs w:val="24"/>
          <w:lang w:eastAsia="hu-HU"/>
        </w:rPr>
        <w:t xml:space="preserve"> könyvvizsgáló nem lehet a társaság „rendes” könyvvizsgálója. A vagyonmérleg-tervezet alapján meg kell határozni az átalakulás útján létrejövő társaság (ha kft.-</w:t>
      </w:r>
      <w:proofErr w:type="spellStart"/>
      <w:r w:rsidRPr="00664213">
        <w:rPr>
          <w:rFonts w:ascii="Times New Roman" w:eastAsia="Times New Roman" w:hAnsi="Times New Roman" w:cs="Times New Roman"/>
          <w:sz w:val="24"/>
          <w:szCs w:val="24"/>
          <w:lang w:eastAsia="hu-HU"/>
        </w:rPr>
        <w:t>vé</w:t>
      </w:r>
      <w:proofErr w:type="spellEnd"/>
      <w:r w:rsidRPr="00664213">
        <w:rPr>
          <w:rFonts w:ascii="Times New Roman" w:eastAsia="Times New Roman" w:hAnsi="Times New Roman" w:cs="Times New Roman"/>
          <w:sz w:val="24"/>
          <w:szCs w:val="24"/>
          <w:lang w:eastAsia="hu-HU"/>
        </w:rPr>
        <w:t xml:space="preserve"> vagy rt.-vé alakulnak át) törzs(alap)tőkéjét és az egyes tagokra eső vagyonhányadot, az „új társaságban” részt venni nem kívánó tagokkal pedig el kell számolni. A Ptk. szerint az új társaságban részt venni nem kívánó tagok az átalakulási terv közlésétől számított 30 napon belül nyilatkozhatnak erről. Ez esetben az átalakulás jogerős bejegyzésével tagsági viszonyuk megszűnik. A társaságtól megváló tagnak járó vagyonhányadot – ha csak a felek másként nem állapodnak meg – az átalakulás cégnyilvántartásba vételétől számított 60 napon belül kell kiadni. A társaságtól megváló tagnak a társaság jogutód nélküli megszűnésénél megállapított szabályok szerint (Ptk. 3:48. §) a részesedése mértékéig kell </w:t>
      </w:r>
      <w:proofErr w:type="spellStart"/>
      <w:r w:rsidRPr="00664213">
        <w:rPr>
          <w:rFonts w:ascii="Times New Roman" w:eastAsia="Times New Roman" w:hAnsi="Times New Roman" w:cs="Times New Roman"/>
          <w:sz w:val="24"/>
          <w:szCs w:val="24"/>
          <w:lang w:eastAsia="hu-HU"/>
        </w:rPr>
        <w:t>helytállania</w:t>
      </w:r>
      <w:proofErr w:type="spellEnd"/>
      <w:r w:rsidRPr="00664213">
        <w:rPr>
          <w:rFonts w:ascii="Times New Roman" w:eastAsia="Times New Roman" w:hAnsi="Times New Roman" w:cs="Times New Roman"/>
          <w:sz w:val="24"/>
          <w:szCs w:val="24"/>
          <w:lang w:eastAsia="hu-HU"/>
        </w:rPr>
        <w:t xml:space="preserve"> a „régi” társaság olyan kötelezettségeiért, amelyeket az „új” társaság nem elégít ki-</w:t>
      </w:r>
    </w:p>
    <w:p w14:paraId="14E90E7D"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Az átalakulás eredményeként elfordulhat, hogy egy tag korlátlan felelősségű tagból korlátozottan felelős taggá válik (pl. </w:t>
      </w:r>
      <w:proofErr w:type="spellStart"/>
      <w:r w:rsidRPr="00664213">
        <w:rPr>
          <w:rFonts w:ascii="Times New Roman" w:eastAsia="Times New Roman" w:hAnsi="Times New Roman" w:cs="Times New Roman"/>
          <w:sz w:val="24"/>
          <w:szCs w:val="24"/>
          <w:lang w:eastAsia="hu-HU"/>
        </w:rPr>
        <w:t>kkt.</w:t>
      </w:r>
      <w:proofErr w:type="spellEnd"/>
      <w:r w:rsidRPr="00664213">
        <w:rPr>
          <w:rFonts w:ascii="Times New Roman" w:eastAsia="Times New Roman" w:hAnsi="Times New Roman" w:cs="Times New Roman"/>
          <w:sz w:val="24"/>
          <w:szCs w:val="24"/>
          <w:lang w:eastAsia="hu-HU"/>
        </w:rPr>
        <w:t xml:space="preserve"> kft.-</w:t>
      </w:r>
      <w:proofErr w:type="spellStart"/>
      <w:r w:rsidRPr="00664213">
        <w:rPr>
          <w:rFonts w:ascii="Times New Roman" w:eastAsia="Times New Roman" w:hAnsi="Times New Roman" w:cs="Times New Roman"/>
          <w:sz w:val="24"/>
          <w:szCs w:val="24"/>
          <w:lang w:eastAsia="hu-HU"/>
        </w:rPr>
        <w:t>vé</w:t>
      </w:r>
      <w:proofErr w:type="spellEnd"/>
      <w:r w:rsidRPr="00664213">
        <w:rPr>
          <w:rFonts w:ascii="Times New Roman" w:eastAsia="Times New Roman" w:hAnsi="Times New Roman" w:cs="Times New Roman"/>
          <w:sz w:val="24"/>
          <w:szCs w:val="24"/>
          <w:lang w:eastAsia="hu-HU"/>
        </w:rPr>
        <w:t xml:space="preserve"> alakul át). Ez esetben ez a tag az „</w:t>
      </w:r>
      <w:proofErr w:type="gramStart"/>
      <w:r w:rsidRPr="00664213">
        <w:rPr>
          <w:rFonts w:ascii="Times New Roman" w:eastAsia="Times New Roman" w:hAnsi="Times New Roman" w:cs="Times New Roman"/>
          <w:sz w:val="24"/>
          <w:szCs w:val="24"/>
          <w:lang w:eastAsia="hu-HU"/>
        </w:rPr>
        <w:t>új ’</w:t>
      </w:r>
      <w:proofErr w:type="gramEnd"/>
      <w:r w:rsidRPr="00664213">
        <w:rPr>
          <w:rFonts w:ascii="Times New Roman" w:eastAsia="Times New Roman" w:hAnsi="Times New Roman" w:cs="Times New Roman"/>
          <w:sz w:val="24"/>
          <w:szCs w:val="24"/>
          <w:lang w:eastAsia="hu-HU"/>
        </w:rPr>
        <w:t>” társaság bejegyzésétől számított öt éves jogvesztő határidőn belül – a többi taggal egyetemlegesen – köteles helytállni a „régi” társaság tartozásaiért. Az átalakulás elhatározásáról a Cégközlöny két egymás után megjelenő számában közleményt kell megjelentetni. Az átalakulási közlemény arra szolgál, hogy a fennálló, le nem járt követelések jogosultjai a második közlemény megjelenésétől számított 30 napon belül a társaságtól biztosítékokat (pl. óvadék, zálog) követelhessenek.</w:t>
      </w:r>
    </w:p>
    <w:p w14:paraId="4BDD80B1"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Az eddigi szabályok szerint az átalakulás cégbejegyzése után a számviteli szabályok szerint mind a megszűnő, mind az új társaságra nézve 90 napon belül végleges vagyonmérleget kell készíteni.</w:t>
      </w:r>
    </w:p>
    <w:p w14:paraId="0B9ED162"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66D3503A" w14:textId="77777777" w:rsidR="00CC5656" w:rsidRPr="00664213" w:rsidRDefault="00CC5656" w:rsidP="00EC10C5">
      <w:pPr>
        <w:pStyle w:val="Stlus1"/>
        <w:rPr>
          <w:rFonts w:eastAsia="Times New Roman"/>
          <w:lang w:eastAsia="hu-HU"/>
        </w:rPr>
      </w:pPr>
      <w:bookmarkStart w:id="321" w:name="_Toc2761126"/>
      <w:bookmarkStart w:id="322" w:name="_Toc13138777"/>
      <w:r w:rsidRPr="00664213">
        <w:rPr>
          <w:rFonts w:eastAsia="Times New Roman"/>
          <w:lang w:eastAsia="hu-HU"/>
        </w:rPr>
        <w:t>A társaság egyesülése, szétválása</w:t>
      </w:r>
      <w:bookmarkEnd w:id="321"/>
      <w:bookmarkEnd w:id="322"/>
    </w:p>
    <w:p w14:paraId="53B9A0AE"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Az átalakuláshoz hasonlóan gazdasági társaság más társasággal, valamint szövetkezettel és egyesüléssel egyesülhet (Ptk. 3:136. §). A szétválásról a társaságok közös szabályai – érthetetlenül – nem tartalmaznak rendelkezést, de mivel a jogi személy általános szabályai szerint az átalakulásra vonatkozó rendelkezések mögöttes jogterületet képeznek a szétválásra nézve is, kimondhatjuk, hogy társaság gazdasági társaságokra, illetve szövetkezetre és egyesülésre válhat szét, mégpedig úgy, hogy más társasági forma is keletkezhet, mint ami eredetileg fennállt. (pl. egy kft. szétválhat, mondjuk egy rt.-re és egy egyesülésre).</w:t>
      </w:r>
    </w:p>
    <w:p w14:paraId="1356045D"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i/>
          <w:sz w:val="24"/>
          <w:szCs w:val="24"/>
          <w:lang w:eastAsia="hu-HU"/>
        </w:rPr>
        <w:t>Egyesülés,</w:t>
      </w:r>
      <w:r w:rsidRPr="00664213">
        <w:rPr>
          <w:rFonts w:ascii="Times New Roman" w:eastAsia="Times New Roman" w:hAnsi="Times New Roman" w:cs="Times New Roman"/>
          <w:sz w:val="24"/>
          <w:szCs w:val="24"/>
          <w:lang w:eastAsia="hu-HU"/>
        </w:rPr>
        <w:t xml:space="preserve"> ha több gazdasági társaság </w:t>
      </w:r>
      <w:r w:rsidRPr="00664213">
        <w:rPr>
          <w:rFonts w:ascii="Times New Roman" w:eastAsia="Times New Roman" w:hAnsi="Times New Roman" w:cs="Times New Roman"/>
          <w:i/>
          <w:sz w:val="24"/>
          <w:szCs w:val="24"/>
          <w:lang w:eastAsia="hu-HU"/>
        </w:rPr>
        <w:t>összeolvad</w:t>
      </w:r>
      <w:r w:rsidRPr="00664213">
        <w:rPr>
          <w:rFonts w:ascii="Times New Roman" w:eastAsia="Times New Roman" w:hAnsi="Times New Roman" w:cs="Times New Roman"/>
          <w:sz w:val="24"/>
          <w:szCs w:val="24"/>
          <w:lang w:eastAsia="hu-HU"/>
        </w:rPr>
        <w:t xml:space="preserve">, vagy ha egy vagy több társaság egy másik társaságba </w:t>
      </w:r>
      <w:r w:rsidRPr="00664213">
        <w:rPr>
          <w:rFonts w:ascii="Times New Roman" w:eastAsia="Times New Roman" w:hAnsi="Times New Roman" w:cs="Times New Roman"/>
          <w:i/>
          <w:sz w:val="24"/>
          <w:szCs w:val="24"/>
          <w:lang w:eastAsia="hu-HU"/>
        </w:rPr>
        <w:t>beolvad</w:t>
      </w:r>
      <w:r w:rsidRPr="00664213">
        <w:rPr>
          <w:rFonts w:ascii="Times New Roman" w:eastAsia="Times New Roman" w:hAnsi="Times New Roman" w:cs="Times New Roman"/>
          <w:sz w:val="24"/>
          <w:szCs w:val="24"/>
          <w:lang w:eastAsia="hu-HU"/>
        </w:rPr>
        <w:t xml:space="preserve">. Szétválás, ha egy gazdasági társaság több társasággá bomlik </w:t>
      </w:r>
      <w:r w:rsidRPr="00664213">
        <w:rPr>
          <w:rFonts w:ascii="Times New Roman" w:eastAsia="Times New Roman" w:hAnsi="Times New Roman" w:cs="Times New Roman"/>
          <w:i/>
          <w:sz w:val="24"/>
          <w:szCs w:val="24"/>
          <w:lang w:eastAsia="hu-HU"/>
        </w:rPr>
        <w:t>(különválás),</w:t>
      </w:r>
      <w:r w:rsidRPr="00664213">
        <w:rPr>
          <w:rFonts w:ascii="Times New Roman" w:eastAsia="Times New Roman" w:hAnsi="Times New Roman" w:cs="Times New Roman"/>
          <w:sz w:val="24"/>
          <w:szCs w:val="24"/>
          <w:lang w:eastAsia="hu-HU"/>
        </w:rPr>
        <w:t xml:space="preserve"> vagy ha egy társaság valamely része önálló társasággá válik </w:t>
      </w:r>
      <w:r w:rsidRPr="00664213">
        <w:rPr>
          <w:rFonts w:ascii="Times New Roman" w:eastAsia="Times New Roman" w:hAnsi="Times New Roman" w:cs="Times New Roman"/>
          <w:i/>
          <w:sz w:val="24"/>
          <w:szCs w:val="24"/>
          <w:lang w:eastAsia="hu-HU"/>
        </w:rPr>
        <w:t>(kiválás).</w:t>
      </w:r>
      <w:r w:rsidRPr="00664213">
        <w:rPr>
          <w:rFonts w:ascii="Times New Roman" w:eastAsia="Times New Roman" w:hAnsi="Times New Roman" w:cs="Times New Roman"/>
          <w:sz w:val="24"/>
          <w:szCs w:val="24"/>
          <w:lang w:eastAsia="hu-HU"/>
        </w:rPr>
        <w:t xml:space="preserve"> Eddig az egyesülésnél és a szétválásnál az érintett társaságoknak, illetve tagjainak </w:t>
      </w:r>
      <w:r w:rsidRPr="00664213">
        <w:rPr>
          <w:rFonts w:ascii="Times New Roman" w:eastAsia="Times New Roman" w:hAnsi="Times New Roman" w:cs="Times New Roman"/>
          <w:i/>
          <w:sz w:val="24"/>
          <w:szCs w:val="24"/>
          <w:lang w:eastAsia="hu-HU"/>
        </w:rPr>
        <w:t xml:space="preserve">egyesülési, </w:t>
      </w:r>
      <w:r w:rsidRPr="00664213">
        <w:rPr>
          <w:rFonts w:ascii="Times New Roman" w:eastAsia="Times New Roman" w:hAnsi="Times New Roman" w:cs="Times New Roman"/>
          <w:sz w:val="24"/>
          <w:szCs w:val="24"/>
          <w:lang w:eastAsia="hu-HU"/>
        </w:rPr>
        <w:t xml:space="preserve">illetve </w:t>
      </w:r>
      <w:r w:rsidRPr="00664213">
        <w:rPr>
          <w:rFonts w:ascii="Times New Roman" w:eastAsia="Times New Roman" w:hAnsi="Times New Roman" w:cs="Times New Roman"/>
          <w:i/>
          <w:sz w:val="24"/>
          <w:szCs w:val="24"/>
          <w:lang w:eastAsia="hu-HU"/>
        </w:rPr>
        <w:t>szétválási szerződést</w:t>
      </w:r>
      <w:r w:rsidRPr="00664213">
        <w:rPr>
          <w:rFonts w:ascii="Times New Roman" w:eastAsia="Times New Roman" w:hAnsi="Times New Roman" w:cs="Times New Roman"/>
          <w:sz w:val="24"/>
          <w:szCs w:val="24"/>
          <w:lang w:eastAsia="hu-HU"/>
        </w:rPr>
        <w:t xml:space="preserve"> kellett kötniük (Gt. 77-86. §). Mivel a Ptk. ilyen szerződésről nem beszél, kérdéses, hogy a jövőben ilyen szerződést kell-e kötelezően kötni – a </w:t>
      </w:r>
      <w:proofErr w:type="spellStart"/>
      <w:r w:rsidRPr="00664213">
        <w:rPr>
          <w:rFonts w:ascii="Times New Roman" w:eastAsia="Times New Roman" w:hAnsi="Times New Roman" w:cs="Times New Roman"/>
          <w:sz w:val="24"/>
          <w:szCs w:val="24"/>
          <w:lang w:eastAsia="hu-HU"/>
        </w:rPr>
        <w:t>Ctv</w:t>
      </w:r>
      <w:proofErr w:type="spellEnd"/>
      <w:r w:rsidRPr="00664213">
        <w:rPr>
          <w:rFonts w:ascii="Times New Roman" w:eastAsia="Times New Roman" w:hAnsi="Times New Roman" w:cs="Times New Roman"/>
          <w:sz w:val="24"/>
          <w:szCs w:val="24"/>
          <w:lang w:eastAsia="hu-HU"/>
        </w:rPr>
        <w:t xml:space="preserve">. még előírhatja ezt. Mivel a társaságok egyesülése versenykorlátozó hatással járhat, az eljárás során a tisztességtelen piaci magatartás és a versenykorlátozás tartalmáról szóló 1996. évi LVII. törvény szabályai szerint esetlegesen be kell szerezni a Gazdasági Versenyhivatal engedélyét. </w:t>
      </w:r>
      <w:r w:rsidRPr="00664213">
        <w:rPr>
          <w:rFonts w:ascii="Times New Roman" w:eastAsia="Times New Roman" w:hAnsi="Times New Roman" w:cs="Times New Roman"/>
          <w:sz w:val="24"/>
          <w:szCs w:val="24"/>
          <w:lang w:eastAsia="hu-HU"/>
        </w:rPr>
        <w:lastRenderedPageBreak/>
        <w:t>Egyesülésnél is előfordulhat, hogy két kft. úgy egyesül, hogy az új társaság rt. lesz, tehát a fúziónál is lehetséges, hogy társasági formaváltás következik be.</w:t>
      </w:r>
    </w:p>
    <w:p w14:paraId="65F20C65"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11D269C4" w14:textId="77777777" w:rsidR="00CC5656" w:rsidRPr="00664213" w:rsidRDefault="00CC5656" w:rsidP="00EC10C5">
      <w:pPr>
        <w:pStyle w:val="Stlus3"/>
      </w:pPr>
      <w:bookmarkStart w:id="323" w:name="_Toc2761127"/>
      <w:bookmarkStart w:id="324" w:name="_Toc13138778"/>
      <w:r>
        <w:t>D</w:t>
      </w:r>
      <w:r w:rsidRPr="00664213">
        <w:t>.4. A társaság jogutód nélküli megszűnése</w:t>
      </w:r>
      <w:bookmarkEnd w:id="323"/>
      <w:bookmarkEnd w:id="324"/>
    </w:p>
    <w:p w14:paraId="50304D55"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jogi személyek jogutód nélküli megszűnésről a Ptk. igen csekély mértékben rendelkezik (Ptk. 3:48. §, 3:137. §). A jogutód nélküli megszűnésnek lényegében négy nagy esetköre van:</w:t>
      </w:r>
    </w:p>
    <w:p w14:paraId="68139A81" w14:textId="77777777" w:rsidR="00CC5656" w:rsidRPr="00664213" w:rsidRDefault="00CC5656" w:rsidP="00EC10C5">
      <w:pPr>
        <w:pStyle w:val="Stlus2"/>
        <w:rPr>
          <w:rFonts w:eastAsia="Times New Roman"/>
          <w:lang w:eastAsia="hu-HU"/>
        </w:rPr>
      </w:pPr>
      <w:r w:rsidRPr="00664213">
        <w:rPr>
          <w:rFonts w:eastAsia="Times New Roman"/>
          <w:lang w:eastAsia="hu-HU"/>
        </w:rPr>
        <w:t>a társaság tagjai önkéntesen szüntetik meg a tag(köz)gyűlés határozata alapján végelszámolással. Ezzel egyenértékű eset, ha a tagok a társasági szerződésben eleve meghatározott időre hozták létre a társaságot;</w:t>
      </w:r>
    </w:p>
    <w:p w14:paraId="531B44E4" w14:textId="77777777" w:rsidR="00CC5656" w:rsidRPr="00664213" w:rsidRDefault="00CC5656" w:rsidP="00EC10C5">
      <w:pPr>
        <w:pStyle w:val="Stlus2"/>
        <w:rPr>
          <w:rFonts w:eastAsia="Times New Roman"/>
          <w:lang w:eastAsia="hu-HU"/>
        </w:rPr>
      </w:pPr>
      <w:r w:rsidRPr="00664213">
        <w:rPr>
          <w:rFonts w:eastAsia="Times New Roman"/>
          <w:lang w:eastAsia="hu-HU"/>
        </w:rPr>
        <w:t>bírósági felszámolást elrendelő ítélet alapján,</w:t>
      </w:r>
    </w:p>
    <w:p w14:paraId="582ECC99" w14:textId="77777777" w:rsidR="00CC5656" w:rsidRPr="00664213" w:rsidRDefault="00CC5656" w:rsidP="00EC10C5">
      <w:pPr>
        <w:pStyle w:val="Stlus2"/>
        <w:rPr>
          <w:rFonts w:eastAsia="Times New Roman"/>
          <w:lang w:eastAsia="hu-HU"/>
        </w:rPr>
      </w:pPr>
      <w:r w:rsidRPr="00664213">
        <w:rPr>
          <w:rFonts w:eastAsia="Times New Roman"/>
          <w:lang w:eastAsia="hu-HU"/>
        </w:rPr>
        <w:t>cégbíróság érdemi döntése alapján,</w:t>
      </w:r>
    </w:p>
    <w:p w14:paraId="166BE765" w14:textId="77777777" w:rsidR="00CC5656" w:rsidRPr="00CC5656" w:rsidRDefault="00CC5656" w:rsidP="00EC10C5">
      <w:pPr>
        <w:pStyle w:val="Stlus2"/>
        <w:rPr>
          <w:rFonts w:eastAsia="Times New Roman"/>
          <w:lang w:eastAsia="hu-HU"/>
        </w:rPr>
      </w:pPr>
      <w:r w:rsidRPr="00664213">
        <w:rPr>
          <w:rFonts w:eastAsia="Times New Roman"/>
          <w:lang w:eastAsia="hu-HU"/>
        </w:rPr>
        <w:t>törvényben meghatározott speciális okból.</w:t>
      </w:r>
    </w:p>
    <w:p w14:paraId="4498D10D"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jogutód nélküli megszűnés teljes megszűnést jelent, az esetleges későbbi követeléseket a társasággal szemben már nem lehet érvényesíteni.</w:t>
      </w:r>
    </w:p>
    <w:p w14:paraId="3598C4E0"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p>
    <w:p w14:paraId="40C5A775" w14:textId="77777777" w:rsidR="00CC5656" w:rsidRPr="00664213" w:rsidRDefault="00CC5656" w:rsidP="00EC10C5">
      <w:pPr>
        <w:pStyle w:val="Stlus1"/>
        <w:rPr>
          <w:rFonts w:eastAsia="Times New Roman"/>
          <w:lang w:eastAsia="hu-HU"/>
        </w:rPr>
      </w:pPr>
      <w:bookmarkStart w:id="325" w:name="_Toc2761128"/>
      <w:bookmarkStart w:id="326" w:name="_Toc13138779"/>
      <w:r w:rsidRPr="00664213">
        <w:rPr>
          <w:rFonts w:eastAsia="Times New Roman"/>
          <w:lang w:eastAsia="hu-HU"/>
        </w:rPr>
        <w:t>A végelszámolás</w:t>
      </w:r>
      <w:bookmarkEnd w:id="325"/>
      <w:bookmarkEnd w:id="326"/>
    </w:p>
    <w:p w14:paraId="79B6046C"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társaság tagjai már a társasági szerződésben is rendelkezhetnek a társaság megszűnéséről úgy, hogy a társaságot meghatározott időtartamra hozzák létre, vagy a szerződésbe más megszüntetési feltételt építenek be. De a határozatlan időre szóló társasági szerződés esetén is, a társaság legfőbb szerve a tagok legalább háromnegyedes többségével hozott döntésével elhatározhatja a társaság jogutód nélküli megszüntetését (</w:t>
      </w:r>
      <w:proofErr w:type="spellStart"/>
      <w:r w:rsidRPr="00664213">
        <w:rPr>
          <w:rFonts w:ascii="Times New Roman" w:eastAsia="Times New Roman" w:hAnsi="Times New Roman" w:cs="Times New Roman"/>
          <w:sz w:val="24"/>
          <w:szCs w:val="24"/>
          <w:lang w:eastAsia="hu-HU"/>
        </w:rPr>
        <w:t>kkt</w:t>
      </w:r>
      <w:proofErr w:type="spellEnd"/>
      <w:r w:rsidRPr="00664213">
        <w:rPr>
          <w:rFonts w:ascii="Times New Roman" w:eastAsia="Times New Roman" w:hAnsi="Times New Roman" w:cs="Times New Roman"/>
          <w:sz w:val="24"/>
          <w:szCs w:val="24"/>
          <w:lang w:eastAsia="hu-HU"/>
        </w:rPr>
        <w:t xml:space="preserve">.-nél, bt.-nél egyhangú határozat kell). Az eddigi szabályok szerint ez esetben a </w:t>
      </w:r>
      <w:proofErr w:type="spellStart"/>
      <w:r w:rsidRPr="00664213">
        <w:rPr>
          <w:rFonts w:ascii="Times New Roman" w:eastAsia="Times New Roman" w:hAnsi="Times New Roman" w:cs="Times New Roman"/>
          <w:sz w:val="24"/>
          <w:szCs w:val="24"/>
          <w:lang w:eastAsia="hu-HU"/>
        </w:rPr>
        <w:t>Ctv</w:t>
      </w:r>
      <w:proofErr w:type="spellEnd"/>
      <w:r w:rsidRPr="00664213">
        <w:rPr>
          <w:rFonts w:ascii="Times New Roman" w:eastAsia="Times New Roman" w:hAnsi="Times New Roman" w:cs="Times New Roman"/>
          <w:sz w:val="24"/>
          <w:szCs w:val="24"/>
          <w:lang w:eastAsia="hu-HU"/>
        </w:rPr>
        <w:t xml:space="preserve">. VIII. fejezetében szabályozott </w:t>
      </w:r>
      <w:r w:rsidRPr="00664213">
        <w:rPr>
          <w:rFonts w:ascii="Times New Roman" w:eastAsia="Times New Roman" w:hAnsi="Times New Roman" w:cs="Times New Roman"/>
          <w:i/>
          <w:sz w:val="24"/>
          <w:szCs w:val="24"/>
          <w:lang w:eastAsia="hu-HU"/>
        </w:rPr>
        <w:t>végelszámolási eljárásra</w:t>
      </w:r>
      <w:r w:rsidRPr="00664213">
        <w:rPr>
          <w:rFonts w:ascii="Times New Roman" w:eastAsia="Times New Roman" w:hAnsi="Times New Roman" w:cs="Times New Roman"/>
          <w:sz w:val="24"/>
          <w:szCs w:val="24"/>
          <w:lang w:eastAsia="hu-HU"/>
        </w:rPr>
        <w:t xml:space="preserve"> kerül sor. A végelszámolót főszabályként a taggyűlés jelöli ki (</w:t>
      </w:r>
      <w:proofErr w:type="spellStart"/>
      <w:r w:rsidRPr="00664213">
        <w:rPr>
          <w:rFonts w:ascii="Times New Roman" w:eastAsia="Times New Roman" w:hAnsi="Times New Roman" w:cs="Times New Roman"/>
          <w:sz w:val="24"/>
          <w:szCs w:val="24"/>
          <w:lang w:eastAsia="hu-HU"/>
        </w:rPr>
        <w:t>Ctv</w:t>
      </w:r>
      <w:proofErr w:type="spellEnd"/>
      <w:r w:rsidRPr="00664213">
        <w:rPr>
          <w:rFonts w:ascii="Times New Roman" w:eastAsia="Times New Roman" w:hAnsi="Times New Roman" w:cs="Times New Roman"/>
          <w:sz w:val="24"/>
          <w:szCs w:val="24"/>
          <w:lang w:eastAsia="hu-HU"/>
        </w:rPr>
        <w:t>. 99. §) és általában a társaság valamely vezető tisztségviselője. Gyorsított „egyszerűsített” végelszámolásra is sor kerülhet a nem bonyolult esetekben.</w:t>
      </w:r>
    </w:p>
    <w:p w14:paraId="56D4AA08"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 végelszámolási eljárás során beszedik a kintlévőségeket, kielégítik a követeléseket, és a fennmaradó vagyont a társasági szerződésben szabályozott módon - főszabályként vagyoni betét arányosan - szétosztják a társaság tagjai között. A tagok felelőssége a megszűnt társaság kötelezettségeiért az öt éves általános elévülési időn belül (az elévülési időt a Ptk. nem változtatta meg), attól függ, hogy az adott gazdasági társaság a tagok korlátozott felelősségével működött vagy sem. A kft. és az rt. esetében a felelősség csak a tagnak (részvényesnek) juttatott vagyon erejéig áll fenn. Ha azonban a tagok felelőssége a társaság tartozásaiért korlátlan volt, az ötéves elévülési időn belül a megszűnt társaság kötelezettségeiért a volt tagok korlátlanul és egyetemlegesen felelnek.</w:t>
      </w:r>
    </w:p>
    <w:p w14:paraId="378BC60E"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b/>
      </w:r>
    </w:p>
    <w:p w14:paraId="0839D610" w14:textId="77777777" w:rsidR="00CC5656" w:rsidRPr="00664213" w:rsidRDefault="00CC5656" w:rsidP="00EC10C5">
      <w:pPr>
        <w:pStyle w:val="Stlus1"/>
        <w:rPr>
          <w:rFonts w:eastAsia="Times New Roman"/>
          <w:lang w:eastAsia="hu-HU"/>
        </w:rPr>
      </w:pPr>
      <w:bookmarkStart w:id="327" w:name="_Toc2761129"/>
      <w:bookmarkStart w:id="328" w:name="_Toc13138780"/>
      <w:r w:rsidRPr="00664213">
        <w:rPr>
          <w:rFonts w:eastAsia="Times New Roman"/>
          <w:lang w:eastAsia="hu-HU"/>
        </w:rPr>
        <w:t>A felszámolási eljárás</w:t>
      </w:r>
      <w:bookmarkEnd w:id="327"/>
      <w:bookmarkEnd w:id="328"/>
    </w:p>
    <w:p w14:paraId="2DD5E886"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Ha egy gazdasági társaság </w:t>
      </w:r>
      <w:r w:rsidRPr="00664213">
        <w:rPr>
          <w:rFonts w:ascii="Times New Roman" w:eastAsia="Times New Roman" w:hAnsi="Times New Roman" w:cs="Times New Roman"/>
          <w:i/>
          <w:sz w:val="24"/>
          <w:szCs w:val="24"/>
          <w:lang w:eastAsia="hu-HU"/>
        </w:rPr>
        <w:t>tartósan fizetésképtelen</w:t>
      </w:r>
      <w:r w:rsidRPr="00664213">
        <w:rPr>
          <w:rFonts w:ascii="Times New Roman" w:eastAsia="Times New Roman" w:hAnsi="Times New Roman" w:cs="Times New Roman"/>
          <w:sz w:val="24"/>
          <w:szCs w:val="24"/>
          <w:lang w:eastAsia="hu-HU"/>
        </w:rPr>
        <w:t>, a szinte állandóan módosuló 1991. évi IL. törvény (</w:t>
      </w:r>
      <w:proofErr w:type="spellStart"/>
      <w:r w:rsidRPr="00664213">
        <w:rPr>
          <w:rFonts w:ascii="Times New Roman" w:eastAsia="Times New Roman" w:hAnsi="Times New Roman" w:cs="Times New Roman"/>
          <w:sz w:val="24"/>
          <w:szCs w:val="24"/>
          <w:lang w:eastAsia="hu-HU"/>
        </w:rPr>
        <w:t>Cstv</w:t>
      </w:r>
      <w:proofErr w:type="spellEnd"/>
      <w:r w:rsidRPr="00664213">
        <w:rPr>
          <w:rFonts w:ascii="Times New Roman" w:eastAsia="Times New Roman" w:hAnsi="Times New Roman" w:cs="Times New Roman"/>
          <w:sz w:val="24"/>
          <w:szCs w:val="24"/>
          <w:lang w:eastAsia="hu-HU"/>
        </w:rPr>
        <w:t xml:space="preserve">.) szabályai szerint csőd-, illetve </w:t>
      </w:r>
      <w:r w:rsidRPr="00664213">
        <w:rPr>
          <w:rFonts w:ascii="Times New Roman" w:eastAsia="Times New Roman" w:hAnsi="Times New Roman" w:cs="Times New Roman"/>
          <w:i/>
          <w:sz w:val="24"/>
          <w:szCs w:val="24"/>
          <w:lang w:eastAsia="hu-HU"/>
        </w:rPr>
        <w:t>felszámolási eljárást</w:t>
      </w:r>
      <w:r w:rsidRPr="00664213">
        <w:rPr>
          <w:rFonts w:ascii="Times New Roman" w:eastAsia="Times New Roman" w:hAnsi="Times New Roman" w:cs="Times New Roman"/>
          <w:sz w:val="24"/>
          <w:szCs w:val="24"/>
          <w:lang w:eastAsia="hu-HU"/>
        </w:rPr>
        <w:t xml:space="preserve"> folytat le vele szemben a bíróság („rendes” polgári bíróság, nem a cégbíróság). A felszámolási eljárást nem a társaság vezető tisztségviselői, hanem a bíróság által kijelölt felszámoló folytatja le. A felszámolási eljárás végén a bíróság jogerős ítéletben mondja ki a társaság felszámolás útján való megszűnését. E bírói ítélet alapján a cégbíróság törli a társaságot a cégjegyzékből.</w:t>
      </w:r>
    </w:p>
    <w:p w14:paraId="024625D0"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b/>
      </w:r>
    </w:p>
    <w:p w14:paraId="58255AD4" w14:textId="77777777" w:rsidR="00CC5656" w:rsidRPr="00664213" w:rsidRDefault="00CC5656" w:rsidP="00EC10C5">
      <w:pPr>
        <w:pStyle w:val="Stlus1"/>
        <w:rPr>
          <w:rFonts w:eastAsia="Times New Roman"/>
          <w:lang w:eastAsia="hu-HU"/>
        </w:rPr>
      </w:pPr>
      <w:bookmarkStart w:id="329" w:name="_Toc2761130"/>
      <w:bookmarkStart w:id="330" w:name="_Toc13138781"/>
      <w:r w:rsidRPr="00664213">
        <w:rPr>
          <w:rFonts w:eastAsia="Times New Roman"/>
          <w:lang w:eastAsia="hu-HU"/>
        </w:rPr>
        <w:t>A társaság cégbíróság általi megszüntetése</w:t>
      </w:r>
      <w:bookmarkEnd w:id="329"/>
      <w:bookmarkEnd w:id="330"/>
    </w:p>
    <w:p w14:paraId="2C1A4EB0"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lastRenderedPageBreak/>
        <w:t>A korábbi szabályok szerint a cégbíróság két esetben szüntethette meg a társaságot (a Ptk. erről kifejezetten nem rendelkezik):</w:t>
      </w:r>
    </w:p>
    <w:p w14:paraId="08496DFD" w14:textId="77777777" w:rsidR="00CC5656" w:rsidRPr="00664213" w:rsidRDefault="00CC5656" w:rsidP="00EC10C5">
      <w:pPr>
        <w:pStyle w:val="Stlus2"/>
        <w:rPr>
          <w:rFonts w:eastAsia="Times New Roman"/>
          <w:lang w:eastAsia="hu-HU"/>
        </w:rPr>
      </w:pPr>
      <w:r w:rsidRPr="00664213">
        <w:rPr>
          <w:rFonts w:eastAsia="Times New Roman"/>
          <w:lang w:eastAsia="hu-HU"/>
        </w:rPr>
        <w:t>súlyos és ismételt törvénysértés esetén, a törvényességi felügyeleti eljárás eredményeként a cégbíróság „feloszlatja” a gazdasági társaságot, azaz megszűntnek nyilvánítja [</w:t>
      </w:r>
      <w:proofErr w:type="spellStart"/>
      <w:r w:rsidRPr="00664213">
        <w:rPr>
          <w:rFonts w:eastAsia="Times New Roman"/>
          <w:lang w:eastAsia="hu-HU"/>
        </w:rPr>
        <w:t>Ctv</w:t>
      </w:r>
      <w:proofErr w:type="spellEnd"/>
      <w:r w:rsidRPr="00664213">
        <w:rPr>
          <w:rFonts w:eastAsia="Times New Roman"/>
          <w:lang w:eastAsia="hu-HU"/>
        </w:rPr>
        <w:t>. 81. § (6) bekezdés]. Ez esetben a cégbíróság folytatja le a végelszámolási eljárást (ún. kényszer-végelszámolás – Gt. 84. §);</w:t>
      </w:r>
    </w:p>
    <w:p w14:paraId="040D314B" w14:textId="77777777" w:rsidR="00CC5656" w:rsidRPr="00664213" w:rsidRDefault="00CC5656" w:rsidP="00EC10C5">
      <w:pPr>
        <w:pStyle w:val="Stlus2"/>
        <w:rPr>
          <w:rFonts w:eastAsia="Times New Roman"/>
          <w:lang w:eastAsia="hu-HU"/>
        </w:rPr>
      </w:pPr>
      <w:r w:rsidRPr="00664213">
        <w:rPr>
          <w:rFonts w:eastAsia="Times New Roman"/>
          <w:lang w:eastAsia="hu-HU"/>
        </w:rPr>
        <w:t>a cégbíróság a nem működő ún. fantomcéget hivatalból törli a cégjegyzékből (</w:t>
      </w:r>
      <w:proofErr w:type="spellStart"/>
      <w:r w:rsidRPr="00664213">
        <w:rPr>
          <w:rFonts w:eastAsia="Times New Roman"/>
          <w:lang w:eastAsia="hu-HU"/>
        </w:rPr>
        <w:t>Ctv</w:t>
      </w:r>
      <w:proofErr w:type="spellEnd"/>
      <w:r w:rsidRPr="00664213">
        <w:rPr>
          <w:rFonts w:eastAsia="Times New Roman"/>
          <w:lang w:eastAsia="hu-HU"/>
        </w:rPr>
        <w:t xml:space="preserve">. 89–93. §), azaz megszüntetésre irányuló eljárás eredményeként törli a társaságot a cégjegyzékből. Megszüntetésre irányuló eljárásnak nincs helye, ha a gazdasági társaságnak tartozásai vannak, mert akkor le kell folytatni a felszámolási eljárást. Ha a megszüntetett társaság után vagyon maradt fenn, illetve utóbb vagyon kerül elő, erről a cégbíróság a </w:t>
      </w:r>
      <w:proofErr w:type="spellStart"/>
      <w:r w:rsidRPr="00664213">
        <w:rPr>
          <w:rFonts w:eastAsia="Times New Roman"/>
          <w:lang w:eastAsia="hu-HU"/>
        </w:rPr>
        <w:t>Ctv</w:t>
      </w:r>
      <w:proofErr w:type="spellEnd"/>
      <w:r w:rsidRPr="00664213">
        <w:rPr>
          <w:rFonts w:eastAsia="Times New Roman"/>
          <w:lang w:eastAsia="hu-HU"/>
        </w:rPr>
        <w:t xml:space="preserve">. szabályai szerint </w:t>
      </w:r>
      <w:r w:rsidRPr="00664213">
        <w:rPr>
          <w:rFonts w:eastAsia="Times New Roman"/>
          <w:i/>
          <w:lang w:eastAsia="hu-HU"/>
        </w:rPr>
        <w:t>vagyonrendezési eljárás</w:t>
      </w:r>
      <w:r w:rsidRPr="00664213">
        <w:rPr>
          <w:rFonts w:eastAsia="Times New Roman"/>
          <w:lang w:eastAsia="hu-HU"/>
        </w:rPr>
        <w:t xml:space="preserve"> keretében rendelkezik (</w:t>
      </w:r>
      <w:proofErr w:type="spellStart"/>
      <w:r w:rsidRPr="00664213">
        <w:rPr>
          <w:rFonts w:eastAsia="Times New Roman"/>
          <w:lang w:eastAsia="hu-HU"/>
        </w:rPr>
        <w:t>Ctv</w:t>
      </w:r>
      <w:proofErr w:type="spellEnd"/>
      <w:r w:rsidRPr="00664213">
        <w:rPr>
          <w:rFonts w:eastAsia="Times New Roman"/>
          <w:lang w:eastAsia="hu-HU"/>
        </w:rPr>
        <w:t>. 119–124. §) – átadja a volt tagoknak vagy közérdekű célra fordítja.</w:t>
      </w:r>
    </w:p>
    <w:p w14:paraId="0928CE6F"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ab/>
      </w:r>
    </w:p>
    <w:p w14:paraId="7D843709" w14:textId="77777777" w:rsidR="00CC5656" w:rsidRPr="00664213" w:rsidRDefault="00CC5656" w:rsidP="00EC10C5">
      <w:pPr>
        <w:pStyle w:val="Stlus1"/>
        <w:rPr>
          <w:rFonts w:eastAsia="Times New Roman"/>
          <w:lang w:eastAsia="hu-HU"/>
        </w:rPr>
      </w:pPr>
      <w:bookmarkStart w:id="331" w:name="_Toc2761131"/>
      <w:bookmarkStart w:id="332" w:name="_Toc13138782"/>
      <w:r w:rsidRPr="00664213">
        <w:rPr>
          <w:rFonts w:eastAsia="Times New Roman"/>
          <w:lang w:eastAsia="hu-HU"/>
        </w:rPr>
        <w:t>A társaság megszűnésének egyéb okai</w:t>
      </w:r>
      <w:bookmarkEnd w:id="331"/>
      <w:bookmarkEnd w:id="332"/>
    </w:p>
    <w:p w14:paraId="544055BF" w14:textId="77777777" w:rsidR="00CC5656" w:rsidRPr="00664213"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Mivel a törvény általános része, mind az egyes társaságokról szóló rendelkezések ismernek sajátos megszüntetési okokat. Pl. a </w:t>
      </w:r>
      <w:proofErr w:type="spellStart"/>
      <w:r w:rsidRPr="00664213">
        <w:rPr>
          <w:rFonts w:ascii="Times New Roman" w:eastAsia="Times New Roman" w:hAnsi="Times New Roman" w:cs="Times New Roman"/>
          <w:sz w:val="24"/>
          <w:szCs w:val="24"/>
          <w:lang w:eastAsia="hu-HU"/>
        </w:rPr>
        <w:t>kkt.</w:t>
      </w:r>
      <w:proofErr w:type="spellEnd"/>
      <w:r w:rsidRPr="00664213">
        <w:rPr>
          <w:rFonts w:ascii="Times New Roman" w:eastAsia="Times New Roman" w:hAnsi="Times New Roman" w:cs="Times New Roman"/>
          <w:sz w:val="24"/>
          <w:szCs w:val="24"/>
          <w:lang w:eastAsia="hu-HU"/>
        </w:rPr>
        <w:t xml:space="preserve"> vagy a bt. megszűnik, ha a tagok száma egyre csökken, és hat hónap alatt új tag nem lép be a társaságba.</w:t>
      </w:r>
    </w:p>
    <w:p w14:paraId="4326556E" w14:textId="77777777" w:rsidR="00CC5656" w:rsidRDefault="00CC5656" w:rsidP="00EC10C5">
      <w:pPr>
        <w:spacing w:after="60" w:line="240" w:lineRule="auto"/>
        <w:ind w:firstLine="709"/>
        <w:jc w:val="both"/>
        <w:rPr>
          <w:rFonts w:ascii="Times New Roman" w:eastAsia="Times New Roman" w:hAnsi="Times New Roman" w:cs="Times New Roman"/>
          <w:sz w:val="24"/>
          <w:szCs w:val="24"/>
          <w:lang w:eastAsia="hu-HU"/>
        </w:rPr>
      </w:pPr>
      <w:r w:rsidRPr="00664213">
        <w:rPr>
          <w:rFonts w:ascii="Times New Roman" w:eastAsia="Times New Roman" w:hAnsi="Times New Roman" w:cs="Times New Roman"/>
          <w:sz w:val="24"/>
          <w:szCs w:val="24"/>
          <w:lang w:eastAsia="hu-HU"/>
        </w:rPr>
        <w:t xml:space="preserve">Mind a négy esetben a gazdasági társaság a cégjegyzékből való törléssel, a törlés napjától szűnik meg. </w:t>
      </w:r>
    </w:p>
    <w:p w14:paraId="30A83D05" w14:textId="77777777" w:rsidR="005344BB" w:rsidRDefault="005344BB" w:rsidP="00EC10C5">
      <w:pPr>
        <w:spacing w:after="60" w:line="240" w:lineRule="auto"/>
        <w:ind w:firstLine="709"/>
        <w:rPr>
          <w:rFonts w:ascii="Times New Roman" w:hAnsi="Times New Roman" w:cs="Times New Roman"/>
          <w:b/>
          <w:sz w:val="24"/>
          <w:szCs w:val="24"/>
        </w:rPr>
      </w:pPr>
      <w:bookmarkStart w:id="333" w:name="_Toc2761132"/>
    </w:p>
    <w:p w14:paraId="4139BD69" w14:textId="77777777" w:rsidR="005344BB" w:rsidRPr="005344BB" w:rsidRDefault="005344BB" w:rsidP="00EC10C5">
      <w:pPr>
        <w:pStyle w:val="Cmsor1"/>
        <w:ind w:firstLine="709"/>
        <w:jc w:val="both"/>
        <w:rPr>
          <w:rFonts w:ascii="Times New Roman" w:hAnsi="Times New Roman" w:cs="Times New Roman"/>
          <w:b/>
          <w:sz w:val="24"/>
          <w:szCs w:val="24"/>
        </w:rPr>
      </w:pPr>
      <w:r w:rsidRPr="005344BB">
        <w:rPr>
          <w:rFonts w:ascii="Times New Roman" w:hAnsi="Times New Roman" w:cs="Times New Roman"/>
          <w:b/>
          <w:sz w:val="24"/>
          <w:szCs w:val="24"/>
        </w:rPr>
        <w:t xml:space="preserve">3. </w:t>
      </w:r>
      <w:r>
        <w:rPr>
          <w:rFonts w:ascii="Times New Roman" w:hAnsi="Times New Roman" w:cs="Times New Roman"/>
          <w:b/>
          <w:sz w:val="24"/>
          <w:szCs w:val="24"/>
        </w:rPr>
        <w:t>J</w:t>
      </w:r>
      <w:r w:rsidRPr="005344BB">
        <w:rPr>
          <w:rFonts w:ascii="Times New Roman" w:hAnsi="Times New Roman" w:cs="Times New Roman"/>
          <w:b/>
          <w:sz w:val="24"/>
          <w:szCs w:val="24"/>
        </w:rPr>
        <w:t xml:space="preserve">ogi személyek szervezetére </w:t>
      </w:r>
      <w:r>
        <w:rPr>
          <w:rFonts w:ascii="Times New Roman" w:hAnsi="Times New Roman" w:cs="Times New Roman"/>
          <w:b/>
          <w:sz w:val="24"/>
          <w:szCs w:val="24"/>
        </w:rPr>
        <w:t>vonatkozó általános szabályok,</w:t>
      </w:r>
      <w:r w:rsidRPr="005344BB">
        <w:rPr>
          <w:rFonts w:ascii="Times New Roman" w:hAnsi="Times New Roman" w:cs="Times New Roman"/>
          <w:b/>
          <w:sz w:val="24"/>
          <w:szCs w:val="24"/>
        </w:rPr>
        <w:t xml:space="preserve"> gazdasági társaságok szervezete </w:t>
      </w:r>
    </w:p>
    <w:p w14:paraId="5F2441C1" w14:textId="77777777" w:rsidR="005344BB" w:rsidRPr="005344BB" w:rsidRDefault="005344BB" w:rsidP="00EC10C5">
      <w:pPr>
        <w:pStyle w:val="Stlus3"/>
        <w:jc w:val="both"/>
      </w:pPr>
      <w:r>
        <w:t xml:space="preserve">3.1. </w:t>
      </w:r>
      <w:r w:rsidRPr="005344BB">
        <w:t>Legfőbb szerv (a jogi személyek általános, és a gazdasági társaságok közös szabályai szerint)</w:t>
      </w:r>
    </w:p>
    <w:p w14:paraId="0CFB7670" w14:textId="77777777" w:rsidR="005344BB" w:rsidRPr="00634083" w:rsidRDefault="005344BB" w:rsidP="00EC10C5">
      <w:pPr>
        <w:pStyle w:val="Listaszerbekezds"/>
        <w:spacing w:after="60" w:line="240" w:lineRule="auto"/>
        <w:ind w:left="1068" w:firstLine="709"/>
        <w:rPr>
          <w:rFonts w:cs="Times New Roman"/>
          <w:i/>
          <w:szCs w:val="24"/>
        </w:rPr>
      </w:pPr>
      <w:r w:rsidRPr="00634083">
        <w:rPr>
          <w:rFonts w:cs="Times New Roman"/>
          <w:i/>
          <w:szCs w:val="24"/>
        </w:rPr>
        <w:t xml:space="preserve">kapcsolódó – kivonatos – </w:t>
      </w:r>
      <w:proofErr w:type="gramStart"/>
      <w:r w:rsidRPr="00634083">
        <w:rPr>
          <w:rFonts w:cs="Times New Roman"/>
          <w:i/>
          <w:szCs w:val="24"/>
        </w:rPr>
        <w:t xml:space="preserve">jegyzetrészek:  </w:t>
      </w:r>
      <w:r>
        <w:rPr>
          <w:rFonts w:cs="Times New Roman"/>
          <w:i/>
          <w:szCs w:val="24"/>
        </w:rPr>
        <w:t>B</w:t>
      </w:r>
      <w:r w:rsidRPr="00634083">
        <w:rPr>
          <w:rFonts w:cs="Times New Roman"/>
          <w:i/>
          <w:szCs w:val="24"/>
        </w:rPr>
        <w:t>.5.</w:t>
      </w:r>
      <w:proofErr w:type="gramEnd"/>
      <w:r w:rsidRPr="00634083">
        <w:rPr>
          <w:rFonts w:cs="Times New Roman"/>
          <w:i/>
          <w:szCs w:val="24"/>
        </w:rPr>
        <w:t xml:space="preserve"> bevezető szöveg és </w:t>
      </w:r>
      <w:r>
        <w:rPr>
          <w:rFonts w:cs="Times New Roman"/>
          <w:i/>
          <w:szCs w:val="24"/>
        </w:rPr>
        <w:t>B</w:t>
      </w:r>
      <w:r w:rsidRPr="00634083">
        <w:rPr>
          <w:rFonts w:cs="Times New Roman"/>
          <w:i/>
          <w:szCs w:val="24"/>
        </w:rPr>
        <w:t xml:space="preserve">.5.1., valamint az </w:t>
      </w:r>
      <w:r>
        <w:rPr>
          <w:rFonts w:cs="Times New Roman"/>
          <w:i/>
          <w:szCs w:val="24"/>
        </w:rPr>
        <w:t>E</w:t>
      </w:r>
      <w:r w:rsidRPr="00634083">
        <w:rPr>
          <w:rFonts w:cs="Times New Roman"/>
          <w:i/>
          <w:szCs w:val="24"/>
        </w:rPr>
        <w:t xml:space="preserve">. pont bevezető rész és az </w:t>
      </w:r>
      <w:r>
        <w:rPr>
          <w:rFonts w:cs="Times New Roman"/>
          <w:i/>
          <w:szCs w:val="24"/>
        </w:rPr>
        <w:t>E</w:t>
      </w:r>
      <w:r w:rsidRPr="00634083">
        <w:rPr>
          <w:rFonts w:cs="Times New Roman"/>
          <w:i/>
          <w:szCs w:val="24"/>
        </w:rPr>
        <w:t>.1.</w:t>
      </w:r>
    </w:p>
    <w:p w14:paraId="25FB5AB1" w14:textId="77777777" w:rsidR="005344BB" w:rsidRPr="005344BB" w:rsidRDefault="005344BB" w:rsidP="00EC10C5">
      <w:pPr>
        <w:pStyle w:val="Stlus3"/>
        <w:jc w:val="both"/>
      </w:pPr>
      <w:r>
        <w:t xml:space="preserve">3.2. </w:t>
      </w:r>
      <w:r w:rsidRPr="005344BB">
        <w:t>Ügyvezetés (a jogi személyek általános, és a gazdasági társaságok közös szabályai szerint)</w:t>
      </w:r>
    </w:p>
    <w:p w14:paraId="36D2EE06" w14:textId="77777777" w:rsidR="005344BB" w:rsidRPr="00634083" w:rsidRDefault="005344BB" w:rsidP="00EC10C5">
      <w:pPr>
        <w:spacing w:after="60" w:line="240" w:lineRule="auto"/>
        <w:ind w:left="1068" w:firstLine="709"/>
        <w:jc w:val="both"/>
        <w:rPr>
          <w:rFonts w:ascii="Times New Roman" w:hAnsi="Times New Roman" w:cs="Times New Roman"/>
          <w:i/>
          <w:sz w:val="24"/>
          <w:szCs w:val="24"/>
        </w:rPr>
      </w:pPr>
      <w:r w:rsidRPr="00634083">
        <w:rPr>
          <w:rFonts w:ascii="Times New Roman" w:hAnsi="Times New Roman" w:cs="Times New Roman"/>
          <w:i/>
          <w:sz w:val="24"/>
          <w:szCs w:val="24"/>
        </w:rPr>
        <w:t xml:space="preserve">kapcsolódó – kivonatos – jegyzetrészek: </w:t>
      </w:r>
      <w:r>
        <w:rPr>
          <w:rFonts w:ascii="Times New Roman" w:hAnsi="Times New Roman" w:cs="Times New Roman"/>
          <w:i/>
          <w:sz w:val="24"/>
          <w:szCs w:val="24"/>
        </w:rPr>
        <w:t>B</w:t>
      </w:r>
      <w:r w:rsidRPr="00634083">
        <w:rPr>
          <w:rFonts w:ascii="Times New Roman" w:hAnsi="Times New Roman" w:cs="Times New Roman"/>
          <w:i/>
          <w:sz w:val="24"/>
          <w:szCs w:val="24"/>
        </w:rPr>
        <w:t xml:space="preserve">.5. bevezető szöveg és </w:t>
      </w:r>
      <w:r>
        <w:rPr>
          <w:rFonts w:ascii="Times New Roman" w:hAnsi="Times New Roman" w:cs="Times New Roman"/>
          <w:i/>
          <w:sz w:val="24"/>
          <w:szCs w:val="24"/>
        </w:rPr>
        <w:t>B</w:t>
      </w:r>
      <w:r w:rsidRPr="00634083">
        <w:rPr>
          <w:rFonts w:ascii="Times New Roman" w:hAnsi="Times New Roman" w:cs="Times New Roman"/>
          <w:i/>
          <w:sz w:val="24"/>
          <w:szCs w:val="24"/>
        </w:rPr>
        <w:t>.5.</w:t>
      </w:r>
      <w:proofErr w:type="gramStart"/>
      <w:r w:rsidRPr="00634083">
        <w:rPr>
          <w:rFonts w:ascii="Times New Roman" w:hAnsi="Times New Roman" w:cs="Times New Roman"/>
          <w:i/>
          <w:sz w:val="24"/>
          <w:szCs w:val="24"/>
        </w:rPr>
        <w:t>2</w:t>
      </w:r>
      <w:proofErr w:type="gramEnd"/>
      <w:r w:rsidRPr="00634083">
        <w:rPr>
          <w:rFonts w:ascii="Times New Roman" w:hAnsi="Times New Roman" w:cs="Times New Roman"/>
          <w:i/>
          <w:sz w:val="24"/>
          <w:szCs w:val="24"/>
        </w:rPr>
        <w:t xml:space="preserve"> valamint </w:t>
      </w:r>
      <w:r>
        <w:rPr>
          <w:rFonts w:ascii="Times New Roman" w:hAnsi="Times New Roman" w:cs="Times New Roman"/>
          <w:i/>
          <w:sz w:val="24"/>
          <w:szCs w:val="24"/>
        </w:rPr>
        <w:t>E</w:t>
      </w:r>
      <w:r w:rsidRPr="00634083">
        <w:rPr>
          <w:rFonts w:ascii="Times New Roman" w:hAnsi="Times New Roman" w:cs="Times New Roman"/>
          <w:i/>
          <w:sz w:val="24"/>
          <w:szCs w:val="24"/>
        </w:rPr>
        <w:t xml:space="preserve">. bevezető szöveg és </w:t>
      </w:r>
      <w:r>
        <w:rPr>
          <w:rFonts w:ascii="Times New Roman" w:hAnsi="Times New Roman" w:cs="Times New Roman"/>
          <w:i/>
          <w:sz w:val="24"/>
          <w:szCs w:val="24"/>
        </w:rPr>
        <w:t>E</w:t>
      </w:r>
      <w:r w:rsidRPr="00634083">
        <w:rPr>
          <w:rFonts w:ascii="Times New Roman" w:hAnsi="Times New Roman" w:cs="Times New Roman"/>
          <w:i/>
          <w:sz w:val="24"/>
          <w:szCs w:val="24"/>
        </w:rPr>
        <w:t>.2.</w:t>
      </w:r>
    </w:p>
    <w:p w14:paraId="55023F16" w14:textId="77777777" w:rsidR="005344BB" w:rsidRPr="005344BB" w:rsidRDefault="005344BB" w:rsidP="00EC10C5">
      <w:pPr>
        <w:pStyle w:val="Stlus3"/>
        <w:jc w:val="both"/>
      </w:pPr>
      <w:r>
        <w:t xml:space="preserve">3.3. </w:t>
      </w:r>
      <w:r w:rsidRPr="005344BB">
        <w:t xml:space="preserve">A társaság kontrollszervei: a felügyelőbizottság és a könyvvizsgáló </w:t>
      </w:r>
      <w:proofErr w:type="gramStart"/>
      <w:r w:rsidRPr="005344BB">
        <w:t>( a</w:t>
      </w:r>
      <w:proofErr w:type="gramEnd"/>
      <w:r w:rsidRPr="005344BB">
        <w:t xml:space="preserve"> jogi személyek általános, és a gazdasági társaságok közös szabályai szerint)</w:t>
      </w:r>
    </w:p>
    <w:p w14:paraId="523AFFD7" w14:textId="77777777" w:rsidR="005344BB" w:rsidRPr="00634083" w:rsidRDefault="005344BB" w:rsidP="00EC10C5">
      <w:pPr>
        <w:pStyle w:val="Listaszerbekezds"/>
        <w:spacing w:after="60" w:line="240" w:lineRule="auto"/>
        <w:ind w:left="1068" w:firstLine="709"/>
        <w:rPr>
          <w:rFonts w:cs="Times New Roman"/>
          <w:i/>
          <w:szCs w:val="24"/>
        </w:rPr>
      </w:pPr>
      <w:r w:rsidRPr="00634083">
        <w:rPr>
          <w:rFonts w:cs="Times New Roman"/>
          <w:i/>
          <w:szCs w:val="24"/>
        </w:rPr>
        <w:t xml:space="preserve">kapcsolódó – kivonatos – jegyzetrészek: </w:t>
      </w:r>
      <w:r>
        <w:rPr>
          <w:rFonts w:cs="Times New Roman"/>
          <w:i/>
          <w:szCs w:val="24"/>
        </w:rPr>
        <w:t>B</w:t>
      </w:r>
      <w:r w:rsidRPr="00634083">
        <w:rPr>
          <w:rFonts w:cs="Times New Roman"/>
          <w:i/>
          <w:szCs w:val="24"/>
        </w:rPr>
        <w:t xml:space="preserve">.5. bevezető szöveg és </w:t>
      </w:r>
      <w:r>
        <w:rPr>
          <w:rFonts w:cs="Times New Roman"/>
          <w:i/>
          <w:szCs w:val="24"/>
        </w:rPr>
        <w:t>B</w:t>
      </w:r>
      <w:r w:rsidRPr="00634083">
        <w:rPr>
          <w:rFonts w:cs="Times New Roman"/>
          <w:i/>
          <w:szCs w:val="24"/>
        </w:rPr>
        <w:t>.5.3.-</w:t>
      </w:r>
      <w:r>
        <w:rPr>
          <w:rFonts w:cs="Times New Roman"/>
          <w:i/>
          <w:szCs w:val="24"/>
        </w:rPr>
        <w:t>B</w:t>
      </w:r>
      <w:r w:rsidRPr="00634083">
        <w:rPr>
          <w:rFonts w:cs="Times New Roman"/>
          <w:i/>
          <w:szCs w:val="24"/>
        </w:rPr>
        <w:t>.5.</w:t>
      </w:r>
      <w:proofErr w:type="gramStart"/>
      <w:r w:rsidRPr="00634083">
        <w:rPr>
          <w:rFonts w:cs="Times New Roman"/>
          <w:i/>
          <w:szCs w:val="24"/>
        </w:rPr>
        <w:t>4</w:t>
      </w:r>
      <w:proofErr w:type="gramEnd"/>
      <w:r w:rsidRPr="00634083">
        <w:rPr>
          <w:rFonts w:cs="Times New Roman"/>
          <w:i/>
          <w:szCs w:val="24"/>
        </w:rPr>
        <w:t xml:space="preserve"> valamint </w:t>
      </w:r>
      <w:r>
        <w:rPr>
          <w:rFonts w:cs="Times New Roman"/>
          <w:i/>
          <w:szCs w:val="24"/>
        </w:rPr>
        <w:t>E</w:t>
      </w:r>
      <w:r w:rsidRPr="00634083">
        <w:rPr>
          <w:rFonts w:cs="Times New Roman"/>
          <w:i/>
          <w:szCs w:val="24"/>
        </w:rPr>
        <w:t xml:space="preserve">. bevezető szöveg és </w:t>
      </w:r>
      <w:r>
        <w:rPr>
          <w:rFonts w:cs="Times New Roman"/>
          <w:i/>
          <w:szCs w:val="24"/>
        </w:rPr>
        <w:t>E.3-E</w:t>
      </w:r>
      <w:r w:rsidRPr="00634083">
        <w:rPr>
          <w:rFonts w:cs="Times New Roman"/>
          <w:i/>
          <w:szCs w:val="24"/>
        </w:rPr>
        <w:t>.4.</w:t>
      </w:r>
    </w:p>
    <w:p w14:paraId="3C75B492" w14:textId="77777777" w:rsidR="005344BB" w:rsidRPr="00634083" w:rsidRDefault="005344BB" w:rsidP="00EC10C5">
      <w:pPr>
        <w:spacing w:after="60" w:line="240" w:lineRule="auto"/>
        <w:ind w:firstLine="709"/>
        <w:rPr>
          <w:rFonts w:ascii="Times New Roman" w:hAnsi="Times New Roman" w:cs="Times New Roman"/>
          <w:b/>
          <w:sz w:val="24"/>
          <w:szCs w:val="24"/>
        </w:rPr>
      </w:pPr>
    </w:p>
    <w:p w14:paraId="0A9D1A3C" w14:textId="77777777" w:rsidR="005344BB" w:rsidRPr="00634083" w:rsidRDefault="005344BB" w:rsidP="00EC10C5">
      <w:pPr>
        <w:pStyle w:val="Stlus3"/>
      </w:pPr>
      <w:bookmarkStart w:id="334" w:name="_Toc2761066"/>
      <w:bookmarkStart w:id="335" w:name="_Toc13141677"/>
      <w:r>
        <w:t>B</w:t>
      </w:r>
      <w:r w:rsidRPr="00634083">
        <w:t>.5. A jogi személy szervei</w:t>
      </w:r>
      <w:bookmarkEnd w:id="334"/>
      <w:bookmarkEnd w:id="335"/>
    </w:p>
    <w:p w14:paraId="4804376E"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Ptk. a jogi személy belső szervezetével kapcsolatban </w:t>
      </w:r>
      <w:r w:rsidRPr="00634083">
        <w:rPr>
          <w:rFonts w:ascii="Times New Roman" w:eastAsia="Times New Roman" w:hAnsi="Times New Roman" w:cs="Times New Roman"/>
          <w:i/>
          <w:sz w:val="24"/>
          <w:szCs w:val="24"/>
          <w:lang w:eastAsia="hu-HU"/>
        </w:rPr>
        <w:t>négy szervtípust</w:t>
      </w:r>
      <w:r w:rsidRPr="00634083">
        <w:rPr>
          <w:rFonts w:ascii="Times New Roman" w:eastAsia="Times New Roman" w:hAnsi="Times New Roman" w:cs="Times New Roman"/>
          <w:sz w:val="24"/>
          <w:szCs w:val="24"/>
          <w:lang w:eastAsia="hu-HU"/>
        </w:rPr>
        <w:t xml:space="preserve"> nevesít:</w:t>
      </w:r>
    </w:p>
    <w:p w14:paraId="64CF4350"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 tagi, (alapító)i döntéshozatalt,</w:t>
      </w:r>
    </w:p>
    <w:p w14:paraId="7E56316B" w14:textId="77777777" w:rsidR="005344BB" w:rsidRPr="00634083" w:rsidRDefault="005344BB" w:rsidP="00EC10C5">
      <w:pPr>
        <w:pStyle w:val="Stlus2"/>
        <w:rPr>
          <w:rFonts w:eastAsia="Times New Roman"/>
          <w:lang w:eastAsia="hu-HU"/>
        </w:rPr>
      </w:pPr>
      <w:r w:rsidRPr="00634083">
        <w:rPr>
          <w:rFonts w:eastAsia="Times New Roman"/>
          <w:lang w:eastAsia="hu-HU"/>
        </w:rPr>
        <w:t>ügyvezetést a vezető tisztségviselők által,</w:t>
      </w:r>
    </w:p>
    <w:p w14:paraId="4BB2E283" w14:textId="77777777" w:rsidR="005344BB" w:rsidRPr="00634083" w:rsidRDefault="005344BB" w:rsidP="00EC10C5">
      <w:pPr>
        <w:pStyle w:val="Stlus2"/>
        <w:rPr>
          <w:rFonts w:eastAsia="Times New Roman"/>
          <w:lang w:eastAsia="hu-HU"/>
        </w:rPr>
      </w:pPr>
      <w:r w:rsidRPr="00634083">
        <w:rPr>
          <w:rFonts w:eastAsia="Times New Roman"/>
          <w:lang w:eastAsia="hu-HU"/>
        </w:rPr>
        <w:t>felügyelőbizottságot az ügyvezetés ellenőrzésére,</w:t>
      </w:r>
    </w:p>
    <w:p w14:paraId="28A8932F" w14:textId="77777777" w:rsidR="005344BB" w:rsidRPr="00634083" w:rsidRDefault="005344BB" w:rsidP="00EC10C5">
      <w:pPr>
        <w:pStyle w:val="Stlus2"/>
        <w:rPr>
          <w:rFonts w:eastAsia="Times New Roman"/>
          <w:lang w:eastAsia="hu-HU"/>
        </w:rPr>
      </w:pPr>
      <w:r w:rsidRPr="00634083">
        <w:rPr>
          <w:rFonts w:eastAsia="Times New Roman"/>
          <w:lang w:eastAsia="hu-HU"/>
        </w:rPr>
        <w:t>az ún. állandó könyvvizsgálót a pénzügyi ellenőrzésre.</w:t>
      </w:r>
    </w:p>
    <w:p w14:paraId="66233283"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lastRenderedPageBreak/>
        <w:t>Nyilván a létesítő okirat egyéb ún. fakultatív szerveket (pl. tanácsadó testület) is létrehozhat. A fakultatív szervek létrehozása nem érintheti a törvényben meghatározott szervek hatáskörét és felelősségét.</w:t>
      </w:r>
    </w:p>
    <w:p w14:paraId="6F55AD85" w14:textId="77777777" w:rsidR="005344BB"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jogi személy belülről szervezetileg tagolódhat. Pl. gazdasági társaságoknak telephelyei, fiókjai, egyesületeknek szakosztályai, területi szervei stb. lehetnek. A belső szervezeti egységek önállóságának mértékét a jogi személy központi szervei általában a szervezeti és működési szabályzatban szabályozzák, de ennyiben erre az adott jogi személy típusnál a törvény lehetőséget ad. A jogi személy létesítő okirata az adott belső szervezeti egységet (egységeket) jogi személlyé is nyilváníthatja (ún. belső, származtatott jogi </w:t>
      </w:r>
      <w:proofErr w:type="spellStart"/>
      <w:r w:rsidRPr="00634083">
        <w:rPr>
          <w:rFonts w:ascii="Times New Roman" w:eastAsia="Times New Roman" w:hAnsi="Times New Roman" w:cs="Times New Roman"/>
          <w:sz w:val="24"/>
          <w:szCs w:val="24"/>
          <w:lang w:eastAsia="hu-HU"/>
        </w:rPr>
        <w:t>személység</w:t>
      </w:r>
      <w:proofErr w:type="spellEnd"/>
      <w:r w:rsidRPr="00634083">
        <w:rPr>
          <w:rFonts w:ascii="Times New Roman" w:eastAsia="Times New Roman" w:hAnsi="Times New Roman" w:cs="Times New Roman"/>
          <w:sz w:val="24"/>
          <w:szCs w:val="24"/>
          <w:lang w:eastAsia="hu-HU"/>
        </w:rPr>
        <w:t>). Eddigi jogunkban ilyen törvényi felhatalmazás az egyesületeknél, az alapítványoknál és a költségvetési szerveknél volt.</w:t>
      </w:r>
    </w:p>
    <w:p w14:paraId="44EEB0AA" w14:textId="77777777" w:rsidR="0098582F" w:rsidRPr="00634083" w:rsidRDefault="0098582F" w:rsidP="00EC10C5">
      <w:pPr>
        <w:spacing w:after="60" w:line="240" w:lineRule="auto"/>
        <w:ind w:firstLine="709"/>
        <w:jc w:val="both"/>
        <w:rPr>
          <w:rFonts w:ascii="Times New Roman" w:eastAsia="Times New Roman" w:hAnsi="Times New Roman" w:cs="Times New Roman"/>
          <w:sz w:val="24"/>
          <w:szCs w:val="24"/>
          <w:lang w:eastAsia="hu-HU"/>
        </w:rPr>
      </w:pPr>
    </w:p>
    <w:p w14:paraId="13FC5296" w14:textId="77777777" w:rsidR="005344BB" w:rsidRPr="00634083" w:rsidRDefault="0098582F" w:rsidP="00EC10C5">
      <w:pPr>
        <w:pStyle w:val="Stlus3"/>
      </w:pPr>
      <w:bookmarkStart w:id="336" w:name="_Toc2761067"/>
      <w:bookmarkStart w:id="337" w:name="_Toc13141678"/>
      <w:r>
        <w:t>B</w:t>
      </w:r>
      <w:r w:rsidR="005344BB" w:rsidRPr="00634083">
        <w:t>.5.1. A jogi személy alapítói (tagi) döntéshozatala – a legfőbb szerv</w:t>
      </w:r>
      <w:bookmarkEnd w:id="336"/>
      <w:bookmarkEnd w:id="337"/>
    </w:p>
    <w:p w14:paraId="51F8FC63"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személyegyesülés típusú jogi személyek </w:t>
      </w:r>
      <w:r w:rsidRPr="00634083">
        <w:rPr>
          <w:rFonts w:ascii="Times New Roman" w:eastAsia="Times New Roman" w:hAnsi="Times New Roman" w:cs="Times New Roman"/>
          <w:i/>
          <w:sz w:val="24"/>
          <w:szCs w:val="24"/>
          <w:lang w:eastAsia="hu-HU"/>
        </w:rPr>
        <w:t>legfőbb szerve</w:t>
      </w:r>
      <w:r w:rsidRPr="00634083">
        <w:rPr>
          <w:rFonts w:ascii="Times New Roman" w:eastAsia="Times New Roman" w:hAnsi="Times New Roman" w:cs="Times New Roman"/>
          <w:sz w:val="24"/>
          <w:szCs w:val="24"/>
          <w:lang w:eastAsia="hu-HU"/>
        </w:rPr>
        <w:t xml:space="preserve"> a jogi személy tagjaiból álló </w:t>
      </w:r>
      <w:r w:rsidRPr="00634083">
        <w:rPr>
          <w:rFonts w:ascii="Times New Roman" w:eastAsia="Times New Roman" w:hAnsi="Times New Roman" w:cs="Times New Roman"/>
          <w:i/>
          <w:sz w:val="24"/>
          <w:szCs w:val="24"/>
          <w:lang w:eastAsia="hu-HU"/>
        </w:rPr>
        <w:t>taggyűlés</w:t>
      </w:r>
      <w:r w:rsidRPr="00634083">
        <w:rPr>
          <w:rFonts w:ascii="Times New Roman" w:eastAsia="Times New Roman" w:hAnsi="Times New Roman" w:cs="Times New Roman"/>
          <w:sz w:val="24"/>
          <w:szCs w:val="24"/>
          <w:lang w:eastAsia="hu-HU"/>
        </w:rPr>
        <w:t xml:space="preserve"> (közgyűlés – egyes jogi személyeknél küldöttgyűlés is lehetséges). Az intézménytípusú jogi személyeknél ilyen belső szerv nincs, de az alapító, illetve alapítók egyes döntési jogokat kívülről gyakorolnak. A tag(köz)gyűlést, illetve az alapítók gyűlését a 3:16. § – a vitatható módon – testületnek, illetve döntéshozó szervnek minősíti. A gazdasági társaságok tag(köz)gyűlése nem testület, de természetesen a társaság legfőbb szerve, amely a jogi személy alapvető stratégiai döntéseit meghozza, mégpedig általában ülésen, de a 3:20. § módot ad az ülés nélküli határozathozatalra is. Hasonló a helyzet a szövetkezet, az egyesület és az egyesülés köz(tag)gyűlésével is. Az alapítványnál azonban az alapítók kívül vannak a jogi személyen és az alapítványnak az alapítóktól való elkülönülése folytán alapvető döntéseket az alapítvánnyal kapcsolatban csak szélsőségesen kivételes esetben hozhatnak. Az alapítók közösségét így az alapítvány esetében meglehetősen vitatható a jogi személy döntéshozó szerveként kezelni.</w:t>
      </w:r>
    </w:p>
    <w:p w14:paraId="57F74F22"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Ptk. 3:16–3:20. § valamennyi jogi személy fent említett döntéshozó szerve számára nézve néhány általános szabályt fogalmaz meg. Így az ülésre szóló meghívó tartalmával (napirendi pontok), az ülés helyszínével, a határozatképességgel és a határozathozatallal kapcsolatban. Néhány ilyen fontosabb szabály:</w:t>
      </w:r>
    </w:p>
    <w:p w14:paraId="45A3BE24" w14:textId="77777777" w:rsidR="005344BB" w:rsidRPr="00634083" w:rsidRDefault="009A244E" w:rsidP="00EC10C5">
      <w:pPr>
        <w:pStyle w:val="Stlus2"/>
        <w:rPr>
          <w:rFonts w:eastAsia="Times New Roman"/>
          <w:lang w:eastAsia="hu-HU"/>
        </w:rPr>
      </w:pPr>
      <w:r>
        <w:rPr>
          <w:rFonts w:eastAsia="Times New Roman"/>
          <w:lang w:eastAsia="hu-HU"/>
        </w:rPr>
        <w:t>H</w:t>
      </w:r>
      <w:r w:rsidR="005344BB" w:rsidRPr="00634083">
        <w:rPr>
          <w:rFonts w:eastAsia="Times New Roman"/>
          <w:lang w:eastAsia="hu-HU"/>
        </w:rPr>
        <w:t>a az ülést nem szabályszerűen hívták össze, az ülést csak akkor lehet megtartani, ha az ülésen valamennyi részvételre jogosult jelen van (ez túlzás, elég lett volna csak a szavazásra jogosultakról beszélni) és egyhangúan hozzájárul az ülés megtartásához, Hasonló a szabály a napirendre nem tűzött kérdés ülésen való megtárgyalásával kapcsolatban;</w:t>
      </w:r>
    </w:p>
    <w:p w14:paraId="35C24F68" w14:textId="77777777" w:rsidR="005344BB" w:rsidRPr="00634083" w:rsidRDefault="009A244E" w:rsidP="00EC10C5">
      <w:pPr>
        <w:pStyle w:val="Stlus2"/>
        <w:rPr>
          <w:rFonts w:eastAsia="Times New Roman"/>
          <w:lang w:eastAsia="hu-HU"/>
        </w:rPr>
      </w:pPr>
      <w:r>
        <w:rPr>
          <w:rFonts w:eastAsia="Times New Roman"/>
          <w:lang w:eastAsia="hu-HU"/>
        </w:rPr>
        <w:t>A</w:t>
      </w:r>
      <w:r w:rsidR="005344BB" w:rsidRPr="00634083">
        <w:rPr>
          <w:rFonts w:eastAsia="Times New Roman"/>
          <w:lang w:eastAsia="hu-HU"/>
        </w:rPr>
        <w:t>z ülés akkor határozatképes (minden napirendi pontnál külön-külön vizsgálandó), ha a leadható szavazatok több mint felét képviselő szavazásra jogosult személy jelen van;</w:t>
      </w:r>
    </w:p>
    <w:p w14:paraId="7A6D2AEF" w14:textId="77777777" w:rsidR="005344BB" w:rsidRPr="00634083" w:rsidRDefault="009A244E" w:rsidP="00EC10C5">
      <w:pPr>
        <w:pStyle w:val="Stlus2"/>
        <w:rPr>
          <w:rFonts w:eastAsia="Times New Roman"/>
          <w:lang w:eastAsia="hu-HU"/>
        </w:rPr>
      </w:pPr>
      <w:r>
        <w:rPr>
          <w:rFonts w:eastAsia="Times New Roman"/>
          <w:lang w:eastAsia="hu-HU"/>
        </w:rPr>
        <w:t>A</w:t>
      </w:r>
      <w:r w:rsidR="005344BB" w:rsidRPr="00634083">
        <w:rPr>
          <w:rFonts w:eastAsia="Times New Roman"/>
          <w:lang w:eastAsia="hu-HU"/>
        </w:rPr>
        <w:t xml:space="preserve"> határozatokat főszabályként a határozatképesség megállapításánál figyelembe vett szavazatok többségével hozzák meg, semmis az a rendelkezés, amely ennél alacsonyabb arányt állapít meg. Törvény minősített többséget, illetve egyhangúságot is előírhat, az ettől való eltérés ugyancsak semmis.</w:t>
      </w:r>
    </w:p>
    <w:p w14:paraId="49151114" w14:textId="77777777" w:rsidR="005344BB" w:rsidRPr="00634083" w:rsidRDefault="005344BB" w:rsidP="00EC10C5">
      <w:pPr>
        <w:pStyle w:val="Stlus2"/>
        <w:rPr>
          <w:rFonts w:eastAsia="Times New Roman"/>
          <w:lang w:eastAsia="hu-HU"/>
        </w:rPr>
      </w:pPr>
      <w:r w:rsidRPr="00634083">
        <w:rPr>
          <w:rFonts w:eastAsia="Times New Roman"/>
          <w:lang w:eastAsia="hu-HU"/>
        </w:rPr>
        <w:t>Ha a létesítő okirat lehetővé teszi a döntés ülés nélküli megtartását, az érintetteknek a kézbesítéstől számított legalább nyolc napot kell adni a szavazat leadására. Ha bármely szavazásra jogosult kéri, az ülést össze kell hívni.</w:t>
      </w:r>
    </w:p>
    <w:p w14:paraId="483D08A7"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Az egyes jogi személy típusoknál a taggyűlésre, illetve az alapítványnál az alapítók közös döntésére számos további szabály került megállapításra. Azt is hangsúlyozni kell, hogy az ún. döntéshozó szervre megállapított igen mesterséges szabályoktól a 3:4. § általános rendelkezéseinél fogva a létesítő okiratban el lehet térni </w:t>
      </w:r>
      <w:r w:rsidRPr="00634083">
        <w:rPr>
          <w:rFonts w:eastAsia="Times New Roman"/>
          <w:lang w:eastAsia="hu-HU"/>
        </w:rPr>
        <w:lastRenderedPageBreak/>
        <w:t>(pl. magasabb határozatképességi küszöböt lehet megállapítani), kivéve, ha az eltéréshez a Ptk. semmisséget fűz [3:19. § (3) bekezdés].</w:t>
      </w:r>
    </w:p>
    <w:p w14:paraId="6881C715" w14:textId="77777777" w:rsidR="005344BB" w:rsidRPr="00634083" w:rsidRDefault="0098582F" w:rsidP="00EC10C5">
      <w:pPr>
        <w:pStyle w:val="Stlus3"/>
      </w:pPr>
      <w:bookmarkStart w:id="338" w:name="_Toc2761068"/>
      <w:bookmarkStart w:id="339" w:name="_Toc13141679"/>
      <w:r>
        <w:t>B</w:t>
      </w:r>
      <w:r w:rsidR="005344BB" w:rsidRPr="00634083">
        <w:t>.5.2. A jogi személy ügyvezetése – a vezető tisztségviselő jogállása</w:t>
      </w:r>
      <w:bookmarkEnd w:id="338"/>
      <w:bookmarkEnd w:id="339"/>
    </w:p>
    <w:p w14:paraId="55BF575B"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jogi személy ügyvezetése – amely a 3:29. § szerint a jogi személy törvényes szervezeti képviselőjének feladatait is ellátja – </w:t>
      </w:r>
      <w:r w:rsidRPr="00634083">
        <w:rPr>
          <w:rFonts w:ascii="Times New Roman" w:eastAsia="Times New Roman" w:hAnsi="Times New Roman" w:cs="Times New Roman"/>
          <w:i/>
          <w:sz w:val="24"/>
          <w:szCs w:val="24"/>
          <w:lang w:eastAsia="hu-HU"/>
        </w:rPr>
        <w:t>operatívan vezeti</w:t>
      </w:r>
      <w:r w:rsidRPr="00634083">
        <w:rPr>
          <w:rFonts w:ascii="Times New Roman" w:eastAsia="Times New Roman" w:hAnsi="Times New Roman" w:cs="Times New Roman"/>
          <w:sz w:val="24"/>
          <w:szCs w:val="24"/>
          <w:lang w:eastAsia="hu-HU"/>
        </w:rPr>
        <w:t xml:space="preserve"> a jogi személyt és meghozza mindazon döntéseket, amely nem tartozik a taggyűlés, Illetve az alapítók gyűlése hatáskörébe. A Ptk. 3:21. § az ügyvezetőket – a társasági jogból </w:t>
      </w:r>
      <w:proofErr w:type="spellStart"/>
      <w:r w:rsidRPr="00634083">
        <w:rPr>
          <w:rFonts w:ascii="Times New Roman" w:eastAsia="Times New Roman" w:hAnsi="Times New Roman" w:cs="Times New Roman"/>
          <w:sz w:val="24"/>
          <w:szCs w:val="24"/>
          <w:lang w:eastAsia="hu-HU"/>
        </w:rPr>
        <w:t>átvéve</w:t>
      </w:r>
      <w:proofErr w:type="spellEnd"/>
      <w:r w:rsidRPr="00634083">
        <w:rPr>
          <w:rFonts w:ascii="Times New Roman" w:eastAsia="Times New Roman" w:hAnsi="Times New Roman" w:cs="Times New Roman"/>
          <w:sz w:val="24"/>
          <w:szCs w:val="24"/>
          <w:lang w:eastAsia="hu-HU"/>
        </w:rPr>
        <w:t xml:space="preserve"> – általános jelleggel </w:t>
      </w:r>
      <w:r w:rsidRPr="00634083">
        <w:rPr>
          <w:rFonts w:ascii="Times New Roman" w:eastAsia="Times New Roman" w:hAnsi="Times New Roman" w:cs="Times New Roman"/>
          <w:i/>
          <w:sz w:val="24"/>
          <w:szCs w:val="24"/>
          <w:lang w:eastAsia="hu-HU"/>
        </w:rPr>
        <w:t>vezető tisztségviselőknek</w:t>
      </w:r>
      <w:r w:rsidRPr="00634083">
        <w:rPr>
          <w:rFonts w:ascii="Times New Roman" w:eastAsia="Times New Roman" w:hAnsi="Times New Roman" w:cs="Times New Roman"/>
          <w:sz w:val="24"/>
          <w:szCs w:val="24"/>
          <w:lang w:eastAsia="hu-HU"/>
        </w:rPr>
        <w:t xml:space="preserve"> minősíti, tehát az eddigi gyakorlattól eltérően az egyesület elnökségének vagy az alapítvány kuratóriumának tagjai is vezető tisztségviselőknek minősülnek. A jogi személynek vagy </w:t>
      </w:r>
      <w:r w:rsidRPr="00634083">
        <w:rPr>
          <w:rFonts w:ascii="Times New Roman" w:eastAsia="Times New Roman" w:hAnsi="Times New Roman" w:cs="Times New Roman"/>
          <w:i/>
          <w:sz w:val="24"/>
          <w:szCs w:val="24"/>
          <w:lang w:eastAsia="hu-HU"/>
        </w:rPr>
        <w:t>egy, vagy több vezető</w:t>
      </w:r>
      <w:r w:rsidRPr="00634083">
        <w:rPr>
          <w:rFonts w:ascii="Times New Roman" w:eastAsia="Times New Roman" w:hAnsi="Times New Roman" w:cs="Times New Roman"/>
          <w:sz w:val="24"/>
          <w:szCs w:val="24"/>
          <w:lang w:eastAsia="hu-HU"/>
        </w:rPr>
        <w:t xml:space="preserve"> tisztségviselője lehet (pl. a kft.-nél), illetve az is lehetséges, hogy az ügyvezetést vezető tisztségviselőkből álló </w:t>
      </w:r>
      <w:r w:rsidRPr="00634083">
        <w:rPr>
          <w:rFonts w:ascii="Times New Roman" w:eastAsia="Times New Roman" w:hAnsi="Times New Roman" w:cs="Times New Roman"/>
          <w:i/>
          <w:sz w:val="24"/>
          <w:szCs w:val="24"/>
          <w:lang w:eastAsia="hu-HU"/>
        </w:rPr>
        <w:t>testület</w:t>
      </w:r>
      <w:r w:rsidRPr="00634083">
        <w:rPr>
          <w:rFonts w:ascii="Times New Roman" w:eastAsia="Times New Roman" w:hAnsi="Times New Roman" w:cs="Times New Roman"/>
          <w:sz w:val="24"/>
          <w:szCs w:val="24"/>
          <w:lang w:eastAsia="hu-HU"/>
        </w:rPr>
        <w:t xml:space="preserve"> (pl. rt. igazgatóság) gyakorolja.</w:t>
      </w:r>
    </w:p>
    <w:p w14:paraId="28871906"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jogi személy vezető tisztségviselője főszabályként cselekvőképes nagykorú természetes személy lehet. A Ptk. általános jelleggel megengedi, hogy jogi személy is kijelölhető (megválasztható) legyen vezető tisztségviselőnek, ez esetben a jogi személy képviselője látja el a vezető tisztségviselői feladatokat, ő minősül vezető tisztségviselőnek. A vezető tisztségviselő ügyvezetési tevékenységét a jogi személy érdekének megfelelően köteles ellátni. A vezető tisztségviselői feladatokat személyesen kell ellátni, e minőségében képviseletnek helye nincs.</w:t>
      </w:r>
    </w:p>
    <w:p w14:paraId="61D7C249"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Az első vezető tisztségviselőket a létesítő okiratban jelölik ki, ezt követően a személyegyesüléseknél a tag(köz)gyűlés választja, az alapítványnál speciális szabályok érvényesülnek. A vezető tisztségviselő jogviszonya kétoldalú jogviszony, a vezető tisztségviselői megbízást (munkaviszonyban is ellátható) az érintett személynek el kell fogadnia. A vezető tisztségviselőt az őt megválasztó szerv bármikor </w:t>
      </w:r>
      <w:r w:rsidRPr="00634083">
        <w:rPr>
          <w:rFonts w:ascii="Times New Roman" w:eastAsia="Times New Roman" w:hAnsi="Times New Roman" w:cs="Times New Roman"/>
          <w:i/>
          <w:sz w:val="24"/>
          <w:szCs w:val="24"/>
          <w:lang w:eastAsia="hu-HU"/>
        </w:rPr>
        <w:t>visszahívhatja</w:t>
      </w:r>
      <w:r w:rsidRPr="00634083">
        <w:rPr>
          <w:rFonts w:ascii="Times New Roman" w:eastAsia="Times New Roman" w:hAnsi="Times New Roman" w:cs="Times New Roman"/>
          <w:sz w:val="24"/>
          <w:szCs w:val="24"/>
          <w:lang w:eastAsia="hu-HU"/>
        </w:rPr>
        <w:t xml:space="preserve"> (határozott idejű megbízás esetén a határidő eltelte előtt is lehetséges). Határozatlan idejű megbízás is lehetséges, a visszahívás lehetősége azonban itt is fennáll. Megbízatásáról a vezető tisztségviselő is bármikor a jogi személyhez intézett nyilatkozattal lemondhat, de ha a jogi személy működőképesség ezt megkívánja, úgy a lemondás csak az új vezető tisztségviselő megválasztásával, de legkésőbb a lemondás bejelentésétől számított 60. napon válik hatályossá.</w:t>
      </w:r>
    </w:p>
    <w:p w14:paraId="2D4552D2"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Ptk. részletesen meghatározza </w:t>
      </w:r>
    </w:p>
    <w:p w14:paraId="57871622"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hogy melyek a vezető tisztségviselésből </w:t>
      </w:r>
      <w:r w:rsidRPr="00634083">
        <w:rPr>
          <w:rFonts w:eastAsia="Times New Roman"/>
          <w:i/>
          <w:lang w:eastAsia="hu-HU"/>
        </w:rPr>
        <w:t>kizáró okok</w:t>
      </w:r>
      <w:r w:rsidRPr="00634083">
        <w:rPr>
          <w:rFonts w:eastAsia="Times New Roman"/>
          <w:lang w:eastAsia="hu-HU"/>
        </w:rPr>
        <w:t xml:space="preserve"> (pl. foglalkozástól eltiltó jogerős bírói ítélet),</w:t>
      </w:r>
    </w:p>
    <w:p w14:paraId="7468FA01"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a vezető tisztségviselő </w:t>
      </w:r>
      <w:r w:rsidRPr="00634083">
        <w:rPr>
          <w:rFonts w:eastAsia="Times New Roman"/>
          <w:i/>
          <w:lang w:eastAsia="hu-HU"/>
        </w:rPr>
        <w:t>titoktartási</w:t>
      </w:r>
      <w:r w:rsidRPr="00634083">
        <w:rPr>
          <w:rFonts w:eastAsia="Times New Roman"/>
          <w:lang w:eastAsia="hu-HU"/>
        </w:rPr>
        <w:t xml:space="preserve"> és a jogi személy tagjai (alapítói) részére való </w:t>
      </w:r>
      <w:r w:rsidRPr="00634083">
        <w:rPr>
          <w:rFonts w:eastAsia="Times New Roman"/>
          <w:i/>
          <w:lang w:eastAsia="hu-HU"/>
        </w:rPr>
        <w:t>felvilágosítás-adási kötelezettsége</w:t>
      </w:r>
      <w:r w:rsidRPr="00634083">
        <w:rPr>
          <w:rFonts w:eastAsia="Times New Roman"/>
          <w:lang w:eastAsia="hu-HU"/>
        </w:rPr>
        <w:t xml:space="preserve"> tartalmát (3:22–3:23. §).</w:t>
      </w:r>
    </w:p>
    <w:p w14:paraId="7A4BE887"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Alapvetően új szabály, hogy ha a vezető tisztségviselő ügyvezető tevékenységével a jogi személynek kárt okoz, a szerződésszegéssel okozott károkért való felelősség szabályai szerint felel a jogi személlyel szemben (3:24. §). A szerződésszegéssel okozott károkért való felelősség az új Ptk.-ban a szerződéskötéskor előrelátható kárra vonatozik (un. előreláthatósági klauzula).</w:t>
      </w:r>
    </w:p>
    <w:p w14:paraId="4D248019"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vezető tisztségviselő jogállása más az egyszemélyes társaságoknál, illetve a vállalatcsoportokban. Az alapító (egyedüli tag) a vezető tisztségviselőnek utasítást adhat, sőt maga is elláthatja a vezető tisztségviselői feladatokat. A vállalatcsoporton belül is az ellenőrzött társaságok vezető tisztségviselői az uralmi szerződésben meghatározott keretekben az uralkodó társaságtól utasítást kaphatnak. Nyilvánvaló, hogy e két estben a vezető tisztségviselői felelősség is más (csekélyebb), mint általában.</w:t>
      </w:r>
    </w:p>
    <w:p w14:paraId="0C531F12"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b/>
      </w:r>
    </w:p>
    <w:p w14:paraId="6BDB9CCD"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lastRenderedPageBreak/>
        <w:t xml:space="preserve">Az ügyvezetés látja el a </w:t>
      </w:r>
      <w:r w:rsidRPr="00634083">
        <w:rPr>
          <w:rFonts w:ascii="Times New Roman" w:eastAsia="Times New Roman" w:hAnsi="Times New Roman" w:cs="Times New Roman"/>
          <w:i/>
          <w:sz w:val="24"/>
          <w:szCs w:val="24"/>
          <w:lang w:eastAsia="hu-HU"/>
        </w:rPr>
        <w:t>jogi személy képviseletét,</w:t>
      </w:r>
      <w:r w:rsidRPr="00634083">
        <w:rPr>
          <w:rFonts w:ascii="Times New Roman" w:eastAsia="Times New Roman" w:hAnsi="Times New Roman" w:cs="Times New Roman"/>
          <w:sz w:val="24"/>
          <w:szCs w:val="24"/>
          <w:lang w:eastAsia="hu-HU"/>
        </w:rPr>
        <w:t xml:space="preserve"> mégpedig – ha ezt a létesítő okirat nem korlátozza – minden vezető tisztségviselő képviseleti jogát önállóan gyakorolja. (Az írásbeli képviseletet a társasági jog cégjegyzésnek nevezi.) A képviseleti jog esetleges korlátozását a nyilvántartásba be kell jegyezni. Az ügyvezetés az ügyek meghatározott csoportjára nézve (ez tehát nem általános képviselet) a jogi személy munkáltatóit is feljogosíthatja képviseleti joggal, de a munkavállaló képviseleti jogát csak más képviseleti joggal felruházott személlyel együtt gyakorolhatja. A Ptk. 3:29–3.31. §-a képviseleti jogra vonatkozó szabályoktól való eltérést nem minősíti semmisnek, ezért ezektől a szabályoktól elvileg el lehet térni. A kérdés csak az, hogy az eltérést a bíróságok a hitelezői vagy munkavállalói érdekek sérelme címén nem fogják-e esetleg érvénytelennek tekinti.</w:t>
      </w:r>
    </w:p>
    <w:p w14:paraId="631B4534"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p>
    <w:p w14:paraId="283AC8EA" w14:textId="77777777" w:rsidR="005344BB" w:rsidRPr="00634083" w:rsidRDefault="0098582F" w:rsidP="00EC10C5">
      <w:pPr>
        <w:pStyle w:val="Stlus3"/>
      </w:pPr>
      <w:bookmarkStart w:id="340" w:name="_Toc2761069"/>
      <w:bookmarkStart w:id="341" w:name="_Toc13141680"/>
      <w:r>
        <w:t>B</w:t>
      </w:r>
      <w:r w:rsidR="005344BB" w:rsidRPr="00634083">
        <w:t>.5.3.  A jogi személy kontrollszerve – a felügyelőbizottság</w:t>
      </w:r>
      <w:bookmarkEnd w:id="340"/>
      <w:bookmarkEnd w:id="341"/>
    </w:p>
    <w:p w14:paraId="723A777F"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Az új Ptk. felügyelőbizottságot – általában önkéntes, fakultatív jelleggel – a társasági jogból a jogi személyek általános szabályai közé emeli. Korábban az egyesületi–alapítványi szabályok ellenőrző bizottságról (testületről) beszéltek – az igazgatási terminológiában a felügyelet több az ellenőrzésnél. (Emellett a VII. fejezet címe „tulajdonosi ellenőrzésről” beszél –az alapítványnál nincs tulajdonos, és az egyesületnél is ez a fogalom meglehetősen erőltetett.) A 3:26. § a felügyelőbizottság feladatát abban látja, hogy „az ügyvezetést a jogi személy érdekeinek megóvása céljából ellenőrizze”. Emellett a felügyelőbizottság köteles a jogi személy döntést hozó szerve elé kerülő érdemi előterjesztéseket véleményezni.</w:t>
      </w:r>
    </w:p>
    <w:p w14:paraId="48072FB5"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felügyelőbizottság legalább 3 tagból áll, létszáma felső határát a Ptk. nem határozza meg. A felügyelőbizottság tagja nagykorú cselekvőképes személy lehet, aki személyesen köteles eljárni a feladatkörében. Felügyelőbizottsági tagként független, nem utasítható. A felügyelőbizottság a jogi személy irataiba korlátozás nélkül betekinthet, vele szemben az ügyvezetés üzleti titkokra nem hivatkozhat.</w:t>
      </w:r>
    </w:p>
    <w:p w14:paraId="56BE143C"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felügyelőbizottsági tagság keletkezésére és megszűnésére, a velük szembeni kizáró okokra a vezető tisztségviselőkre vonatkozó szabályokat kell megfelelően alkalmazni. Ez a szabály az irányadó a felügyelőbizottsági tagok ellenőrzési kötelezettségeik nem megfelelő teljesítésével a jogi személynek okozott károk megtérítésére is.</w:t>
      </w:r>
    </w:p>
    <w:p w14:paraId="551B27B3"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p>
    <w:p w14:paraId="0DCED912" w14:textId="77777777" w:rsidR="005344BB" w:rsidRPr="00634083" w:rsidRDefault="0098582F" w:rsidP="00EC10C5">
      <w:pPr>
        <w:pStyle w:val="Stlus3"/>
      </w:pPr>
      <w:bookmarkStart w:id="342" w:name="_Toc2761070"/>
      <w:bookmarkStart w:id="343" w:name="_Toc13141681"/>
      <w:r>
        <w:t>B</w:t>
      </w:r>
      <w:r w:rsidR="005344BB" w:rsidRPr="00634083">
        <w:t>.5.4. A jogi személy által megválasztott állandó könyvvizsgáló</w:t>
      </w:r>
      <w:bookmarkEnd w:id="342"/>
      <w:bookmarkEnd w:id="343"/>
    </w:p>
    <w:p w14:paraId="536A2F40"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Nemzetközileg egyedülálló megoldással az „állandó” könyvvizsgálót a Ptk. 3:38. §-a </w:t>
      </w:r>
      <w:proofErr w:type="spellStart"/>
      <w:r w:rsidRPr="00634083">
        <w:rPr>
          <w:rFonts w:ascii="Times New Roman" w:eastAsia="Times New Roman" w:hAnsi="Times New Roman" w:cs="Times New Roman"/>
          <w:sz w:val="24"/>
          <w:szCs w:val="24"/>
          <w:lang w:eastAsia="hu-HU"/>
        </w:rPr>
        <w:t>a</w:t>
      </w:r>
      <w:proofErr w:type="spellEnd"/>
      <w:r w:rsidRPr="00634083">
        <w:rPr>
          <w:rFonts w:ascii="Times New Roman" w:eastAsia="Times New Roman" w:hAnsi="Times New Roman" w:cs="Times New Roman"/>
          <w:sz w:val="24"/>
          <w:szCs w:val="24"/>
          <w:lang w:eastAsia="hu-HU"/>
        </w:rPr>
        <w:t xml:space="preserve"> jogi személyek általános szervévé teszi, azaz kiemeli a társasági jogból. A könyvvizsgáló intézményesítéséről a létesítő okiratban kell az alapítóknak rendelkeznie.</w:t>
      </w:r>
    </w:p>
    <w:p w14:paraId="2BA38E6E"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Az állandó könyvvizsgáló (azaz a létesítő okiratban megjelölt könyvvizsgáló) a jogi személy ügyvezetésének pénzügyi tevékenységet ellenőrzi a könyvvizsgálói törvény (2007. évi LXXV. törvény) szabályai szerint. Könyvvizsgáló csak a könyvvizsgálói névjegyzékbe bejegyzett egyéni könyvvizsgáló vagy könyvvizsgáló cég (társaság) lehet. Ha a könyvvizsgálatot cég végzi, meg kell jelölnie a könyvvizsgálatért személyében felelős személyt is. Alapfeladata az éves beszámoló auditálása, azaz a jogszabályok és a valódiság szempontjából való felülvizsgálata. A könyvvizsgáló előtt sincs üzleti titok, minden iratba betekinthet, és ha törvénysértés történt, először a jogi személy döntéshozó szerveinél köteles kezdeményezni a törvényes állapot helyreállítását és ha ez nem történik meg, a törvényességi felügyeletet ellátó bírósághoz kell fordulnia. </w:t>
      </w:r>
    </w:p>
    <w:p w14:paraId="3C9BE62E" w14:textId="77777777" w:rsidR="005344BB" w:rsidRPr="00634083" w:rsidRDefault="005344BB" w:rsidP="00EC10C5">
      <w:pPr>
        <w:spacing w:after="60" w:line="240" w:lineRule="auto"/>
        <w:ind w:firstLine="709"/>
        <w:rPr>
          <w:rFonts w:ascii="Times New Roman" w:hAnsi="Times New Roman" w:cs="Times New Roman"/>
          <w:b/>
          <w:sz w:val="24"/>
          <w:szCs w:val="24"/>
        </w:rPr>
      </w:pPr>
    </w:p>
    <w:p w14:paraId="43DA52D8" w14:textId="77777777" w:rsidR="005344BB" w:rsidRPr="00634083" w:rsidRDefault="0098582F" w:rsidP="00EC10C5">
      <w:pPr>
        <w:pStyle w:val="Stlus3"/>
      </w:pPr>
      <w:bookmarkStart w:id="344" w:name="_Toc13141682"/>
      <w:r>
        <w:t>E</w:t>
      </w:r>
      <w:r w:rsidR="005344BB" w:rsidRPr="00634083">
        <w:t>. A gazdasági társaság szervei</w:t>
      </w:r>
      <w:bookmarkEnd w:id="333"/>
      <w:bookmarkEnd w:id="344"/>
    </w:p>
    <w:p w14:paraId="29A90408"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gazdasági társaság szervei:</w:t>
      </w:r>
    </w:p>
    <w:p w14:paraId="540C7F65" w14:textId="77777777" w:rsidR="005344BB" w:rsidRPr="00634083" w:rsidRDefault="005344BB" w:rsidP="00EC10C5">
      <w:pPr>
        <w:pStyle w:val="Stlus2"/>
        <w:rPr>
          <w:rFonts w:eastAsia="Times New Roman"/>
          <w:lang w:eastAsia="hu-HU"/>
        </w:rPr>
      </w:pPr>
      <w:r w:rsidRPr="00634083">
        <w:rPr>
          <w:rFonts w:eastAsia="Times New Roman"/>
          <w:lang w:eastAsia="hu-HU"/>
        </w:rPr>
        <w:t>a társaság legfőbb szerve, amelyet tág értelemben taggyűlésnek nevezhetünk,</w:t>
      </w:r>
    </w:p>
    <w:p w14:paraId="7E803362" w14:textId="77777777" w:rsidR="005344BB" w:rsidRPr="00634083" w:rsidRDefault="005344BB" w:rsidP="00EC10C5">
      <w:pPr>
        <w:pStyle w:val="Stlus2"/>
        <w:rPr>
          <w:rFonts w:eastAsia="Times New Roman"/>
          <w:lang w:eastAsia="hu-HU"/>
        </w:rPr>
      </w:pPr>
      <w:r w:rsidRPr="00634083">
        <w:rPr>
          <w:rFonts w:eastAsia="Times New Roman"/>
          <w:lang w:eastAsia="hu-HU"/>
        </w:rPr>
        <w:lastRenderedPageBreak/>
        <w:t>a társaság ügyintéző szerve: vezető tisztségviselők, rt.-nél pedig kollektív vezető szervként főszabályként az igazgatóság,</w:t>
      </w:r>
    </w:p>
    <w:p w14:paraId="174033CF" w14:textId="77777777" w:rsidR="005344BB" w:rsidRPr="00634083" w:rsidRDefault="005344BB" w:rsidP="00EC10C5">
      <w:pPr>
        <w:pStyle w:val="Stlus2"/>
        <w:rPr>
          <w:rFonts w:eastAsia="Times New Roman"/>
          <w:lang w:eastAsia="hu-HU"/>
        </w:rPr>
      </w:pPr>
      <w:r w:rsidRPr="00634083">
        <w:rPr>
          <w:rFonts w:eastAsia="Times New Roman"/>
          <w:lang w:eastAsia="hu-HU"/>
        </w:rPr>
        <w:t>a társaság tulajdonosi ellenőrzési szerve: felügyelőbizottság</w:t>
      </w:r>
    </w:p>
    <w:p w14:paraId="151053C2" w14:textId="77777777" w:rsidR="005344BB" w:rsidRPr="00634083" w:rsidRDefault="005344BB" w:rsidP="00EC10C5">
      <w:pPr>
        <w:pStyle w:val="Stlus2"/>
        <w:rPr>
          <w:rFonts w:eastAsia="Times New Roman"/>
          <w:lang w:eastAsia="hu-HU"/>
        </w:rPr>
      </w:pPr>
      <w:r w:rsidRPr="00634083">
        <w:rPr>
          <w:rFonts w:eastAsia="Times New Roman"/>
          <w:lang w:eastAsia="hu-HU"/>
        </w:rPr>
        <w:t>a társaság eredmény-beszámolójának ellenőrző szerve: az állandó könyvvizsgáló.</w:t>
      </w:r>
    </w:p>
    <w:p w14:paraId="2E69FEDD"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társaság a négy szervtípus mellett elvileg más szerveket is létrehozhat, pl. tanácsadó testületet, állandó vagy ad hoc bizottságot, de ezek a Ptk. szerinti szervek hatáskörét–felelősségét nem érintik (Ptk. 3:132. §). </w:t>
      </w:r>
    </w:p>
    <w:p w14:paraId="33631F68" w14:textId="77777777" w:rsidR="005344BB" w:rsidRPr="00634083" w:rsidRDefault="005344BB" w:rsidP="00EC10C5">
      <w:pPr>
        <w:spacing w:after="60" w:line="240" w:lineRule="auto"/>
        <w:ind w:firstLine="709"/>
        <w:jc w:val="both"/>
        <w:rPr>
          <w:rFonts w:ascii="Times New Roman" w:eastAsia="Times New Roman" w:hAnsi="Times New Roman" w:cs="Times New Roman"/>
          <w:i/>
          <w:sz w:val="24"/>
          <w:szCs w:val="24"/>
          <w:lang w:eastAsia="hu-HU"/>
        </w:rPr>
      </w:pPr>
      <w:r w:rsidRPr="00634083">
        <w:rPr>
          <w:rFonts w:ascii="Times New Roman" w:eastAsia="Times New Roman" w:hAnsi="Times New Roman" w:cs="Times New Roman"/>
          <w:i/>
          <w:sz w:val="24"/>
          <w:szCs w:val="24"/>
          <w:lang w:eastAsia="hu-HU"/>
        </w:rPr>
        <w:t>A társaság legfőbb szervére vonatkozó rendelkezések is részben a jogi személyek általános szabályainál (Ptk. 3:16–3:20. §), részben a társaságok közös szabályainál találhatók (Ptk. 3:109–3:111. §), de az egyes társasági formáknál is vannak kiegészítő rendelkezések</w:t>
      </w:r>
    </w:p>
    <w:p w14:paraId="7CB89851"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p>
    <w:p w14:paraId="50B85CD4" w14:textId="77777777" w:rsidR="005344BB" w:rsidRPr="00634083" w:rsidRDefault="0098582F" w:rsidP="00EC10C5">
      <w:pPr>
        <w:pStyle w:val="Stlus3"/>
      </w:pPr>
      <w:bookmarkStart w:id="345" w:name="_Toc2761133"/>
      <w:bookmarkStart w:id="346" w:name="_Toc13141683"/>
      <w:r>
        <w:t>E</w:t>
      </w:r>
      <w:r w:rsidR="005344BB" w:rsidRPr="00634083">
        <w:t>.1. A társaság legfőbb szerve – a taggyűlés</w:t>
      </w:r>
      <w:bookmarkEnd w:id="345"/>
      <w:bookmarkEnd w:id="346"/>
    </w:p>
    <w:p w14:paraId="4BCDFF2A"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társaság legfőbb szerve a tagokból, és csak a tagokból áll, és tág értelemben taggyűlésnek nevezhető. Azért tág értelemben, mert a Ptk. a társaságok legfőbb szervét továbbra is eltérő néven emlegeti. A Gt. nyomán az új Ptk. is csak a kft.-nél és az egyesülésnél beszél kifejezetten </w:t>
      </w:r>
      <w:r w:rsidRPr="00634083">
        <w:rPr>
          <w:rFonts w:ascii="Times New Roman" w:eastAsia="Times New Roman" w:hAnsi="Times New Roman" w:cs="Times New Roman"/>
          <w:i/>
          <w:sz w:val="24"/>
          <w:szCs w:val="24"/>
          <w:lang w:eastAsia="hu-HU"/>
        </w:rPr>
        <w:t>taggyűlésről</w:t>
      </w:r>
      <w:r w:rsidRPr="00634083">
        <w:rPr>
          <w:rFonts w:ascii="Times New Roman" w:eastAsia="Times New Roman" w:hAnsi="Times New Roman" w:cs="Times New Roman"/>
          <w:sz w:val="24"/>
          <w:szCs w:val="24"/>
          <w:lang w:eastAsia="hu-HU"/>
        </w:rPr>
        <w:t xml:space="preserve">. A </w:t>
      </w:r>
      <w:proofErr w:type="spellStart"/>
      <w:r w:rsidRPr="00634083">
        <w:rPr>
          <w:rFonts w:ascii="Times New Roman" w:eastAsia="Times New Roman" w:hAnsi="Times New Roman" w:cs="Times New Roman"/>
          <w:sz w:val="24"/>
          <w:szCs w:val="24"/>
          <w:lang w:eastAsia="hu-HU"/>
        </w:rPr>
        <w:t>kkt.-nél</w:t>
      </w:r>
      <w:proofErr w:type="spellEnd"/>
      <w:r w:rsidRPr="00634083">
        <w:rPr>
          <w:rFonts w:ascii="Times New Roman" w:eastAsia="Times New Roman" w:hAnsi="Times New Roman" w:cs="Times New Roman"/>
          <w:sz w:val="24"/>
          <w:szCs w:val="24"/>
          <w:lang w:eastAsia="hu-HU"/>
        </w:rPr>
        <w:t xml:space="preserve"> és a bt.-nél a legfőbb szerv elnevezése a </w:t>
      </w:r>
      <w:r w:rsidRPr="00634083">
        <w:rPr>
          <w:rFonts w:ascii="Times New Roman" w:eastAsia="Times New Roman" w:hAnsi="Times New Roman" w:cs="Times New Roman"/>
          <w:i/>
          <w:sz w:val="24"/>
          <w:szCs w:val="24"/>
          <w:lang w:eastAsia="hu-HU"/>
        </w:rPr>
        <w:t>tagok gyűlése</w:t>
      </w:r>
      <w:r w:rsidRPr="00634083">
        <w:rPr>
          <w:rFonts w:ascii="Times New Roman" w:eastAsia="Times New Roman" w:hAnsi="Times New Roman" w:cs="Times New Roman"/>
          <w:sz w:val="24"/>
          <w:szCs w:val="24"/>
          <w:lang w:eastAsia="hu-HU"/>
        </w:rPr>
        <w:t xml:space="preserve">, az rt.-nél pedig hagyományosan az elnevezés: </w:t>
      </w:r>
      <w:r w:rsidRPr="00634083">
        <w:rPr>
          <w:rFonts w:ascii="Times New Roman" w:eastAsia="Times New Roman" w:hAnsi="Times New Roman" w:cs="Times New Roman"/>
          <w:i/>
          <w:sz w:val="24"/>
          <w:szCs w:val="24"/>
          <w:lang w:eastAsia="hu-HU"/>
        </w:rPr>
        <w:t>közgyűlés</w:t>
      </w:r>
      <w:r w:rsidRPr="00634083">
        <w:rPr>
          <w:rFonts w:ascii="Times New Roman" w:eastAsia="Times New Roman" w:hAnsi="Times New Roman" w:cs="Times New Roman"/>
          <w:sz w:val="24"/>
          <w:szCs w:val="24"/>
          <w:lang w:eastAsia="hu-HU"/>
        </w:rPr>
        <w:t xml:space="preserve">. Ugyanakkor – függetlenül az elnevezéstől – </w:t>
      </w:r>
      <w:r w:rsidRPr="00634083">
        <w:rPr>
          <w:rFonts w:ascii="Times New Roman" w:eastAsia="Times New Roman" w:hAnsi="Times New Roman" w:cs="Times New Roman"/>
          <w:i/>
          <w:sz w:val="24"/>
          <w:szCs w:val="24"/>
          <w:lang w:eastAsia="hu-HU"/>
        </w:rPr>
        <w:t>a társaság legfőbb szerve a tagok összessége</w:t>
      </w:r>
      <w:r w:rsidRPr="00634083">
        <w:rPr>
          <w:rFonts w:ascii="Times New Roman" w:eastAsia="Times New Roman" w:hAnsi="Times New Roman" w:cs="Times New Roman"/>
          <w:sz w:val="24"/>
          <w:szCs w:val="24"/>
          <w:lang w:eastAsia="hu-HU"/>
        </w:rPr>
        <w:t xml:space="preserve">, a </w:t>
      </w:r>
      <w:r w:rsidRPr="00634083">
        <w:rPr>
          <w:rFonts w:ascii="Times New Roman" w:eastAsia="Times New Roman" w:hAnsi="Times New Roman" w:cs="Times New Roman"/>
          <w:i/>
          <w:sz w:val="24"/>
          <w:szCs w:val="24"/>
          <w:lang w:eastAsia="hu-HU"/>
        </w:rPr>
        <w:t>tagok közössége</w:t>
      </w:r>
      <w:r w:rsidRPr="00634083">
        <w:rPr>
          <w:rFonts w:ascii="Times New Roman" w:eastAsia="Times New Roman" w:hAnsi="Times New Roman" w:cs="Times New Roman"/>
          <w:sz w:val="24"/>
          <w:szCs w:val="24"/>
          <w:lang w:eastAsia="hu-HU"/>
        </w:rPr>
        <w:t xml:space="preserve">, amelyet a </w:t>
      </w:r>
      <w:r w:rsidRPr="00634083">
        <w:rPr>
          <w:rFonts w:ascii="Times New Roman" w:eastAsia="Times New Roman" w:hAnsi="Times New Roman" w:cs="Times New Roman"/>
          <w:i/>
          <w:sz w:val="24"/>
          <w:szCs w:val="24"/>
          <w:lang w:eastAsia="hu-HU"/>
        </w:rPr>
        <w:t>következőkben leegyszerűsítve taggyűlésnek</w:t>
      </w:r>
      <w:r w:rsidRPr="00634083">
        <w:rPr>
          <w:rFonts w:ascii="Times New Roman" w:eastAsia="Times New Roman" w:hAnsi="Times New Roman" w:cs="Times New Roman"/>
          <w:sz w:val="24"/>
          <w:szCs w:val="24"/>
          <w:lang w:eastAsia="hu-HU"/>
        </w:rPr>
        <w:t xml:space="preserve"> nevezzük.</w:t>
      </w:r>
    </w:p>
    <w:p w14:paraId="38C2D968"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magyar jogban a társaság legfőbb szerve, azaz az előző értelemben vett taggyűlés a </w:t>
      </w:r>
      <w:r w:rsidRPr="00634083">
        <w:rPr>
          <w:rFonts w:ascii="Times New Roman" w:eastAsia="Times New Roman" w:hAnsi="Times New Roman" w:cs="Times New Roman"/>
          <w:i/>
          <w:sz w:val="24"/>
          <w:szCs w:val="24"/>
          <w:lang w:eastAsia="hu-HU"/>
        </w:rPr>
        <w:t>társaság ún. stratégiai döntéshozatali szerve</w:t>
      </w:r>
      <w:r w:rsidRPr="00634083">
        <w:rPr>
          <w:rFonts w:ascii="Times New Roman" w:eastAsia="Times New Roman" w:hAnsi="Times New Roman" w:cs="Times New Roman"/>
          <w:sz w:val="24"/>
          <w:szCs w:val="24"/>
          <w:lang w:eastAsia="hu-HU"/>
        </w:rPr>
        <w:t>. Ez következik abból is, hogy az egyes társasági formákra vonatkozó rendelkezések a taggyűlés kizárólagos hatáskörébe utalják a társaság működésével összefüggő legalapvetőbb kérdéseket. Hangsúlyosan ilyen pl. a társasági szerződés módosítása, tőkeemelés, tőkeleszállítás, átalakulás, az eredmény-beszámoló elfogadása, a vezető tisztségviselők, felügyelőbizottsági tagok és a könyvvizsgáló megválasztása, illetve esetleges visszahívása stb. Ebből viszont az is következik, hogy a taggyűlés operatív ügyvezetési kérdésekkel kizárólag akkor foglalkozhat, ha ezeket a társasági szerződés kifejezetten a taggyűlés hatáskörébe utalta, tudniillik az ügyvezetés hatáskörét a taggyűlés főszabály szerint nem vonhatja el. A taggyűlés és az operatív vezetés elkülönülését az is mutatja, hogy a vezető tisztségviselők és a felügyelő bizottsági tagok a taggyűlés jogszabálysértő határozataival szemben bírósághoz (választottbírósághoz) fordulhatnak.</w:t>
      </w:r>
    </w:p>
    <w:p w14:paraId="261B3AE2"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Ptk. 3:17–3:20. §-a, illetve a 3:109–3:111. §-a </w:t>
      </w:r>
      <w:proofErr w:type="spellStart"/>
      <w:r w:rsidRPr="00634083">
        <w:rPr>
          <w:rFonts w:ascii="Times New Roman" w:eastAsia="Times New Roman" w:hAnsi="Times New Roman" w:cs="Times New Roman"/>
          <w:sz w:val="24"/>
          <w:szCs w:val="24"/>
          <w:lang w:eastAsia="hu-HU"/>
        </w:rPr>
        <w:t>a</w:t>
      </w:r>
      <w:proofErr w:type="spellEnd"/>
      <w:r w:rsidRPr="00634083">
        <w:rPr>
          <w:rFonts w:ascii="Times New Roman" w:eastAsia="Times New Roman" w:hAnsi="Times New Roman" w:cs="Times New Roman"/>
          <w:sz w:val="24"/>
          <w:szCs w:val="24"/>
          <w:lang w:eastAsia="hu-HU"/>
        </w:rPr>
        <w:t xml:space="preserve"> taggyűléssel kapcsolatos legalapvetőbb szabályokat határozza meg (összehívás rendje, napirend, határozatképesség, szavazati jog stb.). A taggyűlés nem nyilvános, azon csak a tagok, a törvény szerint jogosultak, illetve a meghívottak vehetnek részt. (A köztulajdonnal működő társaságoknál a nyilvánosságot külön törvények biztosítják.) A taggyűlésen minden tag jelen lehet és felszólalhat, a szavazati jogot azonban a társasági szerződésben korlátozni lehet (pl. a részvényes osztalékelsőbbségi részvény fejében lemond szavazati jogáról). A szavazati jog a gazdasági társaságoknál általában a vagyoni részesedés mértékéhez igazodik, de ez diszpozitív szabály, lehet például fejenként egyenlően is </w:t>
      </w:r>
      <w:proofErr w:type="gramStart"/>
      <w:r w:rsidRPr="00634083">
        <w:rPr>
          <w:rFonts w:ascii="Times New Roman" w:eastAsia="Times New Roman" w:hAnsi="Times New Roman" w:cs="Times New Roman"/>
          <w:sz w:val="24"/>
          <w:szCs w:val="24"/>
          <w:lang w:eastAsia="hu-HU"/>
        </w:rPr>
        <w:t>szavazni</w:t>
      </w:r>
      <w:proofErr w:type="gramEnd"/>
      <w:r w:rsidRPr="00634083">
        <w:rPr>
          <w:rFonts w:ascii="Times New Roman" w:eastAsia="Times New Roman" w:hAnsi="Times New Roman" w:cs="Times New Roman"/>
          <w:sz w:val="24"/>
          <w:szCs w:val="24"/>
          <w:lang w:eastAsia="hu-HU"/>
        </w:rPr>
        <w:t xml:space="preserve"> ha ezt a társasági szerződés a tagok megegyezése alapján kimondja. A határozatokat a határozatképes taggyűlés főszabályként a jelenlévők által képviselt szavazati jogok egyszerű szótöbbségével hozza, a törvény azonban ettől többször eltérően rendelkezik, így minősített többséget ír elő a Ptk., pl. a társasági szerződés módosításának legtöbb esetében. A Gt.-ben a minősített többség általában a szavazatok háromnegyede volt, és ezt a tradíciót a Ptk. is fenntartotta.</w:t>
      </w:r>
    </w:p>
    <w:p w14:paraId="7DAEAA3E"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tag a taggyűlésen </w:t>
      </w:r>
      <w:r w:rsidRPr="00634083">
        <w:rPr>
          <w:rFonts w:ascii="Times New Roman" w:eastAsia="Times New Roman" w:hAnsi="Times New Roman" w:cs="Times New Roman"/>
          <w:i/>
          <w:sz w:val="24"/>
          <w:szCs w:val="24"/>
          <w:lang w:eastAsia="hu-HU"/>
        </w:rPr>
        <w:t>képviselő</w:t>
      </w:r>
      <w:r w:rsidRPr="00634083">
        <w:rPr>
          <w:rFonts w:ascii="Times New Roman" w:eastAsia="Times New Roman" w:hAnsi="Times New Roman" w:cs="Times New Roman"/>
          <w:sz w:val="24"/>
          <w:szCs w:val="24"/>
          <w:lang w:eastAsia="hu-HU"/>
        </w:rPr>
        <w:t xml:space="preserve"> útján is részt vehet, egy tag csak egy képviselőt bízhat meg, de egy képviselő több tagot is képviselhet. A társasági szerződés továbbá lehetővé teheti, </w:t>
      </w:r>
      <w:r w:rsidRPr="00634083">
        <w:rPr>
          <w:rFonts w:ascii="Times New Roman" w:eastAsia="Times New Roman" w:hAnsi="Times New Roman" w:cs="Times New Roman"/>
          <w:sz w:val="24"/>
          <w:szCs w:val="24"/>
          <w:lang w:eastAsia="hu-HU"/>
        </w:rPr>
        <w:lastRenderedPageBreak/>
        <w:t xml:space="preserve">hogy a tag a taggyűlésen </w:t>
      </w:r>
      <w:r w:rsidRPr="00634083">
        <w:rPr>
          <w:rFonts w:ascii="Times New Roman" w:eastAsia="Times New Roman" w:hAnsi="Times New Roman" w:cs="Times New Roman"/>
          <w:i/>
          <w:sz w:val="24"/>
          <w:szCs w:val="24"/>
          <w:lang w:eastAsia="hu-HU"/>
        </w:rPr>
        <w:t>elektronikus hírközlő eszközök</w:t>
      </w:r>
      <w:r w:rsidRPr="00634083">
        <w:rPr>
          <w:rFonts w:ascii="Times New Roman" w:eastAsia="Times New Roman" w:hAnsi="Times New Roman" w:cs="Times New Roman"/>
          <w:sz w:val="24"/>
          <w:szCs w:val="24"/>
          <w:lang w:eastAsia="hu-HU"/>
        </w:rPr>
        <w:t xml:space="preserve"> útján vegyen részt, de ez esetben ezek alkalmazásának módját, illetve feltételeit a társasági szerződésben meg kell határozni, mégpedig úgy, hogy megfelelően megoldódjon a tagok azonosítása és a tagok közti kommunikáció.</w:t>
      </w:r>
    </w:p>
    <w:p w14:paraId="30C60AEE"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Az általános szabályok szerint az ülés akkor határozatképes, ha azon a leadható szavazatok több mint felét képviselő szavazásra jogosult részt vesz. A Ptk. 3:191. § meghatározza, hogy ki nem szavazhat (mert érdekelt stb.), őt a határozatképesség megállapításánál is figyelmen kívül kell hagyni. Általában az érvényes határozathoz a jelenlévők egyszerű – vagyonarányosan leadott – szótöbbsége elégséges, de a törvény minősített szótöbbséget, illetve egyhangúságot is megállapíthat. Ez utóbbi esetben a törvénytől való eltérés semmis.</w:t>
      </w:r>
    </w:p>
    <w:p w14:paraId="389E106C"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modern társasági jogokhoz igazodva a Ptk. 3:109. § (4) bekezdése kimondja, hogy egyszemélyes társaságnál nem kell tag(köz)gyűlést tartani (a klasszikus társasági jogokban kellett, így pl. a jegybanktörvény szerint az MNB Rt.-nél jelenleg is közgyűlést kell tartani). Az egyszemélyes kft.-nél és rt.-nél a taggyűlés döntését az alapító (egyedüli tag – részvényes) írásbeli határozata pótolja.</w:t>
      </w:r>
    </w:p>
    <w:p w14:paraId="22E8CF69"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taggyűlés döntéseit főszabályként ülésen hozza meg. Ugyanakkor a Ptk. 3:20. §-a módot ad arra, hogy a létesítő okiratban a társulók lehetővé tegyék, hogy ülés tartása nélkül </w:t>
      </w:r>
      <w:proofErr w:type="gramStart"/>
      <w:r w:rsidRPr="00634083">
        <w:rPr>
          <w:rFonts w:ascii="Times New Roman" w:eastAsia="Times New Roman" w:hAnsi="Times New Roman" w:cs="Times New Roman"/>
          <w:sz w:val="24"/>
          <w:szCs w:val="24"/>
          <w:lang w:eastAsia="hu-HU"/>
        </w:rPr>
        <w:t>hozzanak döntést</w:t>
      </w:r>
      <w:proofErr w:type="gramEnd"/>
      <w:r w:rsidRPr="00634083">
        <w:rPr>
          <w:rFonts w:ascii="Times New Roman" w:eastAsia="Times New Roman" w:hAnsi="Times New Roman" w:cs="Times New Roman"/>
          <w:sz w:val="24"/>
          <w:szCs w:val="24"/>
          <w:lang w:eastAsia="hu-HU"/>
        </w:rPr>
        <w:t>, mégpedig a társasági szerződésben meghatározott bizonyítható módon (ún. levélszavazás), de lehet pl. faxon, e-mailben stb.</w:t>
      </w:r>
    </w:p>
    <w:p w14:paraId="5869B042"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taggyűlést a társasági szerződésben meghatározott módon, a napirend megjelölésével kell összehívni. A nem szabályszerűen összehívott taggyűlést is meg lehet tartani, illetve napirenden nem szereplő kérdést is meg lehet tárgyalni., ha minden tag jelen van, és ehhez hozzájárul. Sőt arra is mód van, hogy a nem szabályosan elfogadott határozatot utólag érvényessé nyilvánítsák, nevezetesen, ha valamennyi tag ehhez az ülés napjától számított 30 napon belül egyhangúan hozzájárul (Ptk. 3:111. §).</w:t>
      </w:r>
    </w:p>
    <w:p w14:paraId="699BA7E5"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p>
    <w:p w14:paraId="1384E6D1" w14:textId="77777777" w:rsidR="005344BB" w:rsidRPr="00634083" w:rsidRDefault="0098582F" w:rsidP="00EC10C5">
      <w:pPr>
        <w:pStyle w:val="Stlus3"/>
      </w:pPr>
      <w:bookmarkStart w:id="347" w:name="_Toc2761134"/>
      <w:bookmarkStart w:id="348" w:name="_Toc13141684"/>
      <w:r>
        <w:t>E</w:t>
      </w:r>
      <w:r w:rsidR="005344BB" w:rsidRPr="00634083">
        <w:t>.2. A gazdasági társaság ügyvezetése</w:t>
      </w:r>
      <w:bookmarkEnd w:id="347"/>
      <w:bookmarkEnd w:id="348"/>
    </w:p>
    <w:p w14:paraId="6C97A59B"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E körben is a jogi személyekre vonatkozó szabályokat (Ptk. 3:21–3:25. §) együtt kell alkalmazni a társasági szabályokkal (Ptk. 3:112–3:118. §).</w:t>
      </w:r>
    </w:p>
    <w:p w14:paraId="10B928AB"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gazdasági társaság ügyvezetését a </w:t>
      </w:r>
      <w:r w:rsidRPr="00634083">
        <w:rPr>
          <w:rFonts w:ascii="Times New Roman" w:eastAsia="Times New Roman" w:hAnsi="Times New Roman" w:cs="Times New Roman"/>
          <w:i/>
          <w:sz w:val="24"/>
          <w:szCs w:val="24"/>
          <w:lang w:eastAsia="hu-HU"/>
        </w:rPr>
        <w:t>vezető tisztségviselők</w:t>
      </w:r>
      <w:r w:rsidRPr="00634083">
        <w:rPr>
          <w:rFonts w:ascii="Times New Roman" w:eastAsia="Times New Roman" w:hAnsi="Times New Roman" w:cs="Times New Roman"/>
          <w:sz w:val="24"/>
          <w:szCs w:val="24"/>
          <w:lang w:eastAsia="hu-HU"/>
        </w:rPr>
        <w:t xml:space="preserve"> látják el, kivéve főszabályként a részvénytársaságot, ahol (két később tárgyalandó kivétellel) az igazgatóság, mint testület az ügyvezető szerv, és az igazgatóság tagjai minősülnek vezető tisztségviselőknek. Vezető tisztségviselő a </w:t>
      </w:r>
      <w:proofErr w:type="spellStart"/>
      <w:r w:rsidRPr="00634083">
        <w:rPr>
          <w:rFonts w:ascii="Times New Roman" w:eastAsia="Times New Roman" w:hAnsi="Times New Roman" w:cs="Times New Roman"/>
          <w:sz w:val="24"/>
          <w:szCs w:val="24"/>
          <w:lang w:eastAsia="hu-HU"/>
        </w:rPr>
        <w:t>kkt</w:t>
      </w:r>
      <w:proofErr w:type="spellEnd"/>
      <w:r w:rsidRPr="00634083">
        <w:rPr>
          <w:rFonts w:ascii="Times New Roman" w:eastAsia="Times New Roman" w:hAnsi="Times New Roman" w:cs="Times New Roman"/>
          <w:sz w:val="24"/>
          <w:szCs w:val="24"/>
          <w:lang w:eastAsia="hu-HU"/>
        </w:rPr>
        <w:t>.-</w:t>
      </w:r>
      <w:proofErr w:type="spellStart"/>
      <w:r w:rsidRPr="00634083">
        <w:rPr>
          <w:rFonts w:ascii="Times New Roman" w:eastAsia="Times New Roman" w:hAnsi="Times New Roman" w:cs="Times New Roman"/>
          <w:sz w:val="24"/>
          <w:szCs w:val="24"/>
          <w:lang w:eastAsia="hu-HU"/>
        </w:rPr>
        <w:t>nál</w:t>
      </w:r>
      <w:proofErr w:type="spellEnd"/>
      <w:r w:rsidRPr="00634083">
        <w:rPr>
          <w:rFonts w:ascii="Times New Roman" w:eastAsia="Times New Roman" w:hAnsi="Times New Roman" w:cs="Times New Roman"/>
          <w:sz w:val="24"/>
          <w:szCs w:val="24"/>
          <w:lang w:eastAsia="hu-HU"/>
        </w:rPr>
        <w:t xml:space="preserve"> és a bt.-nél a társasági szerződésben az ügyvezetésre feljogosított tag (tagok), a kft.-nél az egy vagy több ügyvezető. (Az egyesülésnél a vezető tisztségviselő általában az igazgató, de a társasági szerződés kollektív ügyvezető szervezet, igazgatóságot is létrehozhat.)</w:t>
      </w:r>
    </w:p>
    <w:p w14:paraId="2A59D741"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vezető tisztségviselőkre vonatkozó alapvető szabályok a következők:</w:t>
      </w:r>
    </w:p>
    <w:p w14:paraId="53A395C1"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vezető tisztségviselő általában </w:t>
      </w:r>
      <w:r w:rsidRPr="00634083">
        <w:rPr>
          <w:rFonts w:eastAsia="Times New Roman"/>
          <w:i/>
          <w:lang w:eastAsia="hu-HU"/>
        </w:rPr>
        <w:t>nagykorú cselekvőképes természetes személy, akivel szemben nincs kizárási ok</w:t>
      </w:r>
      <w:r w:rsidRPr="00634083">
        <w:rPr>
          <w:rFonts w:eastAsia="Times New Roman"/>
          <w:lang w:eastAsia="hu-HU"/>
        </w:rPr>
        <w:t xml:space="preserve">. A Ptk. általában lehetővé teszi, hogy </w:t>
      </w:r>
      <w:r w:rsidRPr="00634083">
        <w:rPr>
          <w:rFonts w:eastAsia="Times New Roman"/>
          <w:i/>
          <w:lang w:eastAsia="hu-HU"/>
        </w:rPr>
        <w:t>jogi személy is lehessen</w:t>
      </w:r>
      <w:r w:rsidRPr="00634083">
        <w:rPr>
          <w:rFonts w:eastAsia="Times New Roman"/>
          <w:lang w:eastAsia="hu-HU"/>
        </w:rPr>
        <w:t xml:space="preserve"> – képviselője útján – vezető tisztségviselő. Ez esetben a – vezető tisztségviselővé választott - jogi személy képviselőjére kell alkalmazni a vezető tisztségviselőkkel szembeni követelményeket;</w:t>
      </w:r>
    </w:p>
    <w:p w14:paraId="45B4EF58"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vezető tisztségviselővé egy személy </w:t>
      </w:r>
      <w:r w:rsidRPr="00634083">
        <w:rPr>
          <w:rFonts w:eastAsia="Times New Roman"/>
          <w:i/>
          <w:lang w:eastAsia="hu-HU"/>
        </w:rPr>
        <w:t>több társaságnál is megválasztható</w:t>
      </w:r>
      <w:r w:rsidRPr="00634083">
        <w:rPr>
          <w:rFonts w:eastAsia="Times New Roman"/>
          <w:lang w:eastAsia="hu-HU"/>
        </w:rPr>
        <w:t xml:space="preserve"> (az 1988–2006 közti adminisztratív korlátozások, </w:t>
      </w:r>
      <w:proofErr w:type="gramStart"/>
      <w:r w:rsidRPr="00634083">
        <w:rPr>
          <w:rFonts w:eastAsia="Times New Roman"/>
          <w:lang w:eastAsia="hu-HU"/>
        </w:rPr>
        <w:t>pl.</w:t>
      </w:r>
      <w:proofErr w:type="gramEnd"/>
      <w:r w:rsidRPr="00634083">
        <w:rPr>
          <w:rFonts w:eastAsia="Times New Roman"/>
          <w:lang w:eastAsia="hu-HU"/>
        </w:rPr>
        <w:t xml:space="preserve"> hogy csak öt társaságnál lehet vezető tisztségviselő, megszűntek);</w:t>
      </w:r>
    </w:p>
    <w:p w14:paraId="494EE1D4" w14:textId="77777777" w:rsidR="005344BB" w:rsidRPr="00634083" w:rsidRDefault="005344BB" w:rsidP="00EC10C5">
      <w:pPr>
        <w:pStyle w:val="Stlus2"/>
        <w:rPr>
          <w:rFonts w:eastAsia="Times New Roman"/>
          <w:lang w:eastAsia="hu-HU"/>
        </w:rPr>
      </w:pPr>
      <w:r w:rsidRPr="00634083">
        <w:rPr>
          <w:rFonts w:eastAsia="Times New Roman"/>
          <w:lang w:eastAsia="hu-HU"/>
        </w:rPr>
        <w:lastRenderedPageBreak/>
        <w:t xml:space="preserve">ha a törvény kivételt nem tesz a vezető tisztségviselőket a </w:t>
      </w:r>
      <w:r w:rsidRPr="00634083">
        <w:rPr>
          <w:rFonts w:eastAsia="Times New Roman"/>
          <w:i/>
          <w:lang w:eastAsia="hu-HU"/>
        </w:rPr>
        <w:t>tag(köz)gyűlés választja meg</w:t>
      </w:r>
      <w:r w:rsidRPr="00634083">
        <w:rPr>
          <w:rFonts w:eastAsia="Times New Roman"/>
          <w:lang w:eastAsia="hu-HU"/>
        </w:rPr>
        <w:t>. Alapvető kivétel az alapítás stádiuma, amikor is a vezető tisztségviselőket a társasági szerződésben kell kijelölni.</w:t>
      </w:r>
    </w:p>
    <w:p w14:paraId="723A5A34"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a vezető tisztségviselői megbízás </w:t>
      </w:r>
      <w:r w:rsidRPr="00634083">
        <w:rPr>
          <w:rFonts w:eastAsia="Times New Roman"/>
          <w:i/>
          <w:lang w:eastAsia="hu-HU"/>
        </w:rPr>
        <w:t>főszabályként határozott időre, de legfeljebb öt évre</w:t>
      </w:r>
      <w:r w:rsidRPr="00634083">
        <w:rPr>
          <w:rFonts w:eastAsia="Times New Roman"/>
          <w:lang w:eastAsia="hu-HU"/>
        </w:rPr>
        <w:t xml:space="preserve"> szól. Miután a Ptk. nem tiltja az eltérést, az eddigi szabályozásnak megfelelően a társasági szerződés lehetővé teheti, hogy a vezető tisztségviselőt határozatlan időre válasszák, illetve, hogy a határozott idejű megbízás meghaladja az öt évet. (Szerintem ez helytelen, ki kellett volna zárni az eltérés lehetőségét.)</w:t>
      </w:r>
    </w:p>
    <w:p w14:paraId="43A37513"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a vezető tisztségviselőkkel szemben a Ptk. széles körű </w:t>
      </w:r>
      <w:r w:rsidRPr="00634083">
        <w:rPr>
          <w:rFonts w:eastAsia="Times New Roman"/>
          <w:i/>
          <w:lang w:eastAsia="hu-HU"/>
        </w:rPr>
        <w:t>összeférhetetlenségi követelményeket</w:t>
      </w:r>
      <w:r w:rsidRPr="00634083">
        <w:rPr>
          <w:rFonts w:eastAsia="Times New Roman"/>
          <w:lang w:eastAsia="hu-HU"/>
        </w:rPr>
        <w:t xml:space="preserve"> állapít meg (büntetőjogi oldalról, a felszámolás vagy a </w:t>
      </w:r>
      <w:proofErr w:type="spellStart"/>
      <w:r w:rsidRPr="00634083">
        <w:rPr>
          <w:rFonts w:eastAsia="Times New Roman"/>
          <w:lang w:eastAsia="hu-HU"/>
        </w:rPr>
        <w:t>hivatalbóli</w:t>
      </w:r>
      <w:proofErr w:type="spellEnd"/>
      <w:r w:rsidRPr="00634083">
        <w:rPr>
          <w:rFonts w:eastAsia="Times New Roman"/>
          <w:lang w:eastAsia="hu-HU"/>
        </w:rPr>
        <w:t xml:space="preserve"> törlés – un. kényszertörlés - miatti korlátozás, más társasági tisztség, pl. felügyelőbizottsági tagság ellátása miatt stb.).;</w:t>
      </w:r>
    </w:p>
    <w:p w14:paraId="70CF413A"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a vezető tisztségviselői jogviszony </w:t>
      </w:r>
      <w:r w:rsidRPr="00634083">
        <w:rPr>
          <w:rFonts w:eastAsia="Times New Roman"/>
          <w:i/>
          <w:lang w:eastAsia="hu-HU"/>
        </w:rPr>
        <w:t xml:space="preserve">sajátos </w:t>
      </w:r>
      <w:r w:rsidRPr="00634083">
        <w:rPr>
          <w:rFonts w:eastAsia="Times New Roman"/>
          <w:i/>
          <w:iCs/>
          <w:lang w:eastAsia="hu-HU"/>
        </w:rPr>
        <w:t>jogviszony</w:t>
      </w:r>
      <w:r w:rsidRPr="00634083">
        <w:rPr>
          <w:rFonts w:eastAsia="Times New Roman"/>
          <w:lang w:eastAsia="hu-HU"/>
        </w:rPr>
        <w:t xml:space="preserve">, amely a </w:t>
      </w:r>
      <w:r w:rsidRPr="00634083">
        <w:rPr>
          <w:rFonts w:eastAsia="Times New Roman"/>
          <w:i/>
          <w:lang w:eastAsia="hu-HU"/>
        </w:rPr>
        <w:t>megválasztással és az elfogadással</w:t>
      </w:r>
      <w:r w:rsidRPr="00634083">
        <w:rPr>
          <w:rFonts w:eastAsia="Times New Roman"/>
          <w:lang w:eastAsia="hu-HU"/>
        </w:rPr>
        <w:t xml:space="preserve"> jön létre, illetve </w:t>
      </w:r>
      <w:r w:rsidRPr="00634083">
        <w:rPr>
          <w:rFonts w:eastAsia="Times New Roman"/>
          <w:i/>
          <w:lang w:eastAsia="hu-HU"/>
        </w:rPr>
        <w:t>visszahívással vagy lemondással bármikor</w:t>
      </w:r>
      <w:r w:rsidRPr="00634083">
        <w:rPr>
          <w:rFonts w:eastAsia="Times New Roman"/>
          <w:lang w:eastAsia="hu-HU"/>
        </w:rPr>
        <w:t xml:space="preserve"> mindkét oldalon megszüntethető. E jogviszony jellegével kapcsolatban sok a vita. Eredetileg az első Gt.-ben a vezető tisztségviselő megbízási jogviszony és munkaviszony keretében egyaránt elláthatta feladatait. Később a 2006-os Gt. valamennyi társasági formára nézve megtiltotta e jogviszony munkaviszony keretében való ellátását. Munkaviszonyt persze – a 2006-os szabályozás szerint is – a vezető tisztségviselő is létesíthetett a társasággal, de az esetleges volt, és pl. igazgatói munkaviszony a vezető tisztségviselői jogviszonytól elvált és külön volt elbírálandó (ún. „kettős fedelű jogviszony”). Azt akkori szabályozás szerint a munkaszerződés alapján a munkavállalónak mindig járt bér, a vezető tisztségviselői tevékenység megbízási alapon viszont ingyenesen és díjazás fejében egyaránt ellátható volt. Ugyanakkor 2007. szeptember 1-jétől a </w:t>
      </w:r>
      <w:proofErr w:type="spellStart"/>
      <w:r w:rsidRPr="00634083">
        <w:rPr>
          <w:rFonts w:eastAsia="Times New Roman"/>
          <w:lang w:eastAsia="hu-HU"/>
        </w:rPr>
        <w:t>Ctv</w:t>
      </w:r>
      <w:proofErr w:type="spellEnd"/>
      <w:r w:rsidRPr="00634083">
        <w:rPr>
          <w:rFonts w:eastAsia="Times New Roman"/>
          <w:lang w:eastAsia="hu-HU"/>
        </w:rPr>
        <w:t xml:space="preserve">. novella (a </w:t>
      </w:r>
      <w:proofErr w:type="spellStart"/>
      <w:r w:rsidRPr="00634083">
        <w:rPr>
          <w:rFonts w:eastAsia="Times New Roman"/>
          <w:lang w:eastAsia="hu-HU"/>
        </w:rPr>
        <w:t>Ctv</w:t>
      </w:r>
      <w:proofErr w:type="spellEnd"/>
      <w:r w:rsidRPr="00634083">
        <w:rPr>
          <w:rFonts w:eastAsia="Times New Roman"/>
          <w:lang w:eastAsia="hu-HU"/>
        </w:rPr>
        <w:t>. átfogó módosítása) általában megengedte, hogy a vezető tisztséget munkaviszony alapján is ellássák, és ezt a szabályzást most a Ptk. 3:12. §-a is fenntartotta. A Ptk. szerint tehát a vezető tisztségviselői jogviszony megbízási, illetve munkajogviszony egyaránt lehet, ebben a kérdésben a vezető tisztségviselő társasággal való megállapodása az irányadó. A munkaviszonyra a Munka Törvénykönyve, a megbízási jogviszonyra a Ptk. megbízási szerződésre vonatkozó kötelmi jogi szabályai (Ptk. Hatodik Könyv, 6:272. §) megfelelően irányadóak.</w:t>
      </w:r>
    </w:p>
    <w:p w14:paraId="5A063A6A" w14:textId="77777777" w:rsidR="005344BB" w:rsidRPr="00634083" w:rsidRDefault="005344BB" w:rsidP="00EC10C5">
      <w:pPr>
        <w:pStyle w:val="Stlus2"/>
        <w:rPr>
          <w:rFonts w:eastAsia="Times New Roman"/>
          <w:lang w:eastAsia="hu-HU"/>
        </w:rPr>
      </w:pPr>
      <w:r w:rsidRPr="00634083">
        <w:rPr>
          <w:rFonts w:eastAsia="Times New Roman"/>
          <w:i/>
          <w:iCs/>
          <w:lang w:eastAsia="hu-HU"/>
        </w:rPr>
        <w:t>a vezető tisztségviselő önfelelősségű</w:t>
      </w:r>
      <w:r w:rsidRPr="00634083">
        <w:rPr>
          <w:rFonts w:eastAsia="Times New Roman"/>
          <w:lang w:eastAsia="hu-HU"/>
        </w:rPr>
        <w:t>. Ez azt jelenti, hogy az ügyvezetés körében – ha törvény kivételt nem tesz – nem utasítható sem a tagok, sem munkáltatója által és hatáskörét sem lehet elvonni. (Nem ez a helyzet az egyszemélyes társaságnál, illetve vállalatcsoportnál, ahol lehet írásban utasítást adni, de ez mentesíti a tisztségviselőt a felelősség alól.)</w:t>
      </w:r>
    </w:p>
    <w:p w14:paraId="3BFBE786"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Ptk. 3:21. §-a </w:t>
      </w:r>
      <w:proofErr w:type="spellStart"/>
      <w:r w:rsidRPr="00634083">
        <w:rPr>
          <w:rFonts w:ascii="Times New Roman" w:eastAsia="Times New Roman" w:hAnsi="Times New Roman" w:cs="Times New Roman"/>
          <w:sz w:val="24"/>
          <w:szCs w:val="24"/>
          <w:lang w:eastAsia="hu-HU"/>
        </w:rPr>
        <w:t>a</w:t>
      </w:r>
      <w:proofErr w:type="spellEnd"/>
      <w:r w:rsidRPr="00634083">
        <w:rPr>
          <w:rFonts w:ascii="Times New Roman" w:eastAsia="Times New Roman" w:hAnsi="Times New Roman" w:cs="Times New Roman"/>
          <w:sz w:val="24"/>
          <w:szCs w:val="24"/>
          <w:lang w:eastAsia="hu-HU"/>
        </w:rPr>
        <w:t xml:space="preserve"> vezető tisztségviselők a gazdasági társaság érdekeinek elsődlegessége alapján (tehát a társaság érdekei adott esetben megelőzhetik a tagok érdekeit!) köteles ellátni. </w:t>
      </w:r>
    </w:p>
    <w:p w14:paraId="49EDD28D"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w:t>
      </w:r>
      <w:r w:rsidRPr="00634083">
        <w:rPr>
          <w:rFonts w:ascii="Times New Roman" w:eastAsia="Times New Roman" w:hAnsi="Times New Roman" w:cs="Times New Roman"/>
          <w:i/>
          <w:sz w:val="24"/>
          <w:szCs w:val="24"/>
          <w:lang w:eastAsia="hu-HU"/>
        </w:rPr>
        <w:t xml:space="preserve">vezető tisztségviselők felelőssége </w:t>
      </w:r>
      <w:proofErr w:type="spellStart"/>
      <w:r w:rsidRPr="00634083">
        <w:rPr>
          <w:rFonts w:ascii="Times New Roman" w:eastAsia="Times New Roman" w:hAnsi="Times New Roman" w:cs="Times New Roman"/>
          <w:i/>
          <w:sz w:val="24"/>
          <w:szCs w:val="24"/>
          <w:lang w:eastAsia="hu-HU"/>
        </w:rPr>
        <w:t>kétirányú</w:t>
      </w:r>
      <w:proofErr w:type="spellEnd"/>
      <w:r w:rsidRPr="00634083">
        <w:rPr>
          <w:rFonts w:ascii="Times New Roman" w:eastAsia="Times New Roman" w:hAnsi="Times New Roman" w:cs="Times New Roman"/>
          <w:sz w:val="24"/>
          <w:szCs w:val="24"/>
          <w:lang w:eastAsia="hu-HU"/>
        </w:rPr>
        <w:t>: a társasággal szemben, illetve kivételesen harmadik személyekkel szemben.</w:t>
      </w:r>
    </w:p>
    <w:p w14:paraId="43B34104" w14:textId="77777777" w:rsidR="005344BB" w:rsidRPr="00634083" w:rsidRDefault="005344BB" w:rsidP="00445121">
      <w:pPr>
        <w:pStyle w:val="Stlus2"/>
        <w:numPr>
          <w:ilvl w:val="1"/>
          <w:numId w:val="39"/>
        </w:numPr>
        <w:rPr>
          <w:rFonts w:eastAsia="Times New Roman"/>
          <w:lang w:eastAsia="hu-HU"/>
        </w:rPr>
      </w:pPr>
      <w:r w:rsidRPr="00634083">
        <w:rPr>
          <w:rFonts w:eastAsia="Times New Roman"/>
          <w:lang w:eastAsia="hu-HU"/>
        </w:rPr>
        <w:t>A társaságnak okozott károkért, a szerződésszegéssel okozott károkért való felelősség szabályai szerint felelnek a vezető tisztségviselők (Ptk. 3:24. §). Ha a társaság jogutód nélkül szűnik meg, a törlés időpontjában tagsági jogviszonyban állók érvényesíthetik a társaságot megillető kártérítési igényt a vezető tisztségviselőkkel szemben, mégpedig vagyoni részesedésük arányában egyéves jogvesztő határidőn belül.</w:t>
      </w:r>
    </w:p>
    <w:p w14:paraId="4ED20F78" w14:textId="77777777" w:rsidR="005344BB" w:rsidRPr="00634083" w:rsidRDefault="005344BB" w:rsidP="00445121">
      <w:pPr>
        <w:pStyle w:val="Stlus2"/>
        <w:numPr>
          <w:ilvl w:val="1"/>
          <w:numId w:val="39"/>
        </w:numPr>
        <w:rPr>
          <w:rFonts w:eastAsia="Times New Roman"/>
          <w:lang w:eastAsia="hu-HU"/>
        </w:rPr>
      </w:pPr>
      <w:r w:rsidRPr="00634083">
        <w:rPr>
          <w:rFonts w:eastAsia="Times New Roman"/>
          <w:lang w:eastAsia="hu-HU"/>
        </w:rPr>
        <w:lastRenderedPageBreak/>
        <w:t xml:space="preserve">Ha a vezető tisztségviselő harmadik személynek okoz kárt, a 6:541. § alapján a vezető tisztségviselő a </w:t>
      </w:r>
      <w:proofErr w:type="spellStart"/>
      <w:r w:rsidRPr="00634083">
        <w:rPr>
          <w:rFonts w:eastAsia="Times New Roman"/>
          <w:lang w:eastAsia="hu-HU"/>
        </w:rPr>
        <w:t>deliktuális</w:t>
      </w:r>
      <w:proofErr w:type="spellEnd"/>
      <w:r w:rsidRPr="00634083">
        <w:rPr>
          <w:rFonts w:eastAsia="Times New Roman"/>
          <w:lang w:eastAsia="hu-HU"/>
        </w:rPr>
        <w:t xml:space="preserve"> kártérítés szabályai szerint a társasággal egyetemlegesen felel. Ehhez a Ptk. 3:118. § a társaságok közös szabályai között hozzáteszi, hogy ha a társaság felszámolási eljárás eredményeként jogutód nélkül megszűnik (a végelszámolásra ez a szabály nem vonatkozik), a kielégítetlenül maradt hitelezők a vezető tisztségviselővel szemben (ha többen vannak, egyetemlegesen) kártérítési igénnyel léphetnek fel a szerződésen kívüli károkért való felelősség szabályai szerint, amennyiben a vezető tisztségviselő „a társaság fizetésképtelenségével fenyegető helyzet beállta után a hitelezői érdekeket nem vette figyelembe”. Az ügyvezetésnél tehát a társaság érdekeinek elsődlegessége alapján kell eljárni, de már az esetleges csődhelyzet beállta előtt is megfelelően tekintettel kell lenni a hitelezők méltányos érdekeire.</w:t>
      </w:r>
    </w:p>
    <w:p w14:paraId="6BA84057" w14:textId="77777777" w:rsidR="005344BB" w:rsidRPr="00634083" w:rsidRDefault="005344BB" w:rsidP="00EC10C5">
      <w:pPr>
        <w:pStyle w:val="Stlus2"/>
        <w:rPr>
          <w:rFonts w:eastAsia="Times New Roman"/>
          <w:lang w:eastAsia="hu-HU"/>
        </w:rPr>
      </w:pPr>
      <w:r w:rsidRPr="00634083">
        <w:rPr>
          <w:rFonts w:eastAsia="Times New Roman"/>
          <w:lang w:eastAsia="hu-HU"/>
        </w:rPr>
        <w:t>A Ptk. 117. § a felelősségi kérdések tisztázása érdekében jelentősen megerősítette a Gt. által korábban bevezetett felmentvény intézményét. Az eredménybeszámolót tárgyaló taggyűlés értékeli a vezető tisztségviselők teljesítményét, és ha azt megfelelőnek találja, részükre felmentvényt ad. Felmentvény esetén e vezető tisztségviselő kártérítési felelőssége utóbb csak akkor állapítható meg, ha az eredménybeszámolóban foglalt adatok hibásak vagy hiányosak voltak. (Korábban a társasági szerződésben rendelkezni kellett a felmentvényről, most maga a törvény rendezi.)</w:t>
      </w:r>
    </w:p>
    <w:p w14:paraId="30B929F7" w14:textId="77777777" w:rsidR="005344BB" w:rsidRPr="00634083" w:rsidRDefault="005344BB" w:rsidP="00EC10C5">
      <w:pPr>
        <w:pStyle w:val="Stlus2"/>
        <w:rPr>
          <w:rFonts w:eastAsia="Times New Roman"/>
          <w:lang w:eastAsia="hu-HU"/>
        </w:rPr>
      </w:pPr>
      <w:r w:rsidRPr="00634083">
        <w:rPr>
          <w:rFonts w:eastAsia="Times New Roman"/>
          <w:lang w:eastAsia="hu-HU"/>
        </w:rPr>
        <w:t xml:space="preserve">A </w:t>
      </w:r>
      <w:r w:rsidRPr="00634083">
        <w:rPr>
          <w:rFonts w:eastAsia="Times New Roman"/>
          <w:i/>
          <w:iCs/>
          <w:lang w:eastAsia="hu-HU"/>
        </w:rPr>
        <w:t xml:space="preserve">társaság törvényes képviselője </w:t>
      </w:r>
      <w:r w:rsidRPr="00634083">
        <w:rPr>
          <w:rFonts w:eastAsia="Times New Roman"/>
          <w:lang w:eastAsia="hu-HU"/>
        </w:rPr>
        <w:t xml:space="preserve">a külső vagyoni forgalomban - de a társaság munkavállalóival szemben is - a társaság vezető tisztségviselője. A vezető tisztségviselő a társaságot írásban ún. </w:t>
      </w:r>
      <w:r w:rsidRPr="00634083">
        <w:rPr>
          <w:rFonts w:eastAsia="Times New Roman"/>
          <w:i/>
          <w:iCs/>
          <w:lang w:eastAsia="hu-HU"/>
        </w:rPr>
        <w:t>cégjegyzés</w:t>
      </w:r>
      <w:r w:rsidRPr="00634083">
        <w:rPr>
          <w:rFonts w:eastAsia="Times New Roman"/>
          <w:lang w:eastAsia="hu-HU"/>
        </w:rPr>
        <w:t xml:space="preserve"> útján képviseli (Ptk. 3:16. §). Minden vezető tisztségviselő elvileg jogosult a cégjegyzésre, de cégjegyzési jogát a társasági szerződés korlátozhatja, pl. az önálló cégjegyzési jog helyett együttes cégjegyzési jogot írhat elő. A cégjegyzés azt jelenti, hogy a társaság iratain a társaság képviseletére jogosultak az iratokat a társaság cégneve alatt saját </w:t>
      </w:r>
      <w:r w:rsidRPr="00634083">
        <w:rPr>
          <w:rFonts w:eastAsia="Times New Roman"/>
          <w:i/>
          <w:lang w:eastAsia="hu-HU"/>
        </w:rPr>
        <w:t>névaláírásukkal</w:t>
      </w:r>
      <w:r w:rsidRPr="00634083">
        <w:rPr>
          <w:rFonts w:eastAsia="Times New Roman"/>
          <w:lang w:eastAsia="hu-HU"/>
        </w:rPr>
        <w:t xml:space="preserve"> látják el. A cégjegyzés tehát lényegében a társaság írásbeli nyilatkozat formájában való képviseletét jelenti. Az aláírásnak meg kell felelnie az ún. hivatalos cégaláírási nyilatkozatnak (a közjegyzői </w:t>
      </w:r>
      <w:r w:rsidRPr="00634083">
        <w:rPr>
          <w:rFonts w:eastAsia="Times New Roman"/>
          <w:i/>
          <w:lang w:eastAsia="hu-HU"/>
        </w:rPr>
        <w:t>aláírási címpéldánynak, vagy ügyvéd által készített aláírásmintának</w:t>
      </w:r>
      <w:r w:rsidRPr="00634083">
        <w:rPr>
          <w:rFonts w:eastAsia="Times New Roman"/>
          <w:lang w:eastAsia="hu-HU"/>
        </w:rPr>
        <w:t>).</w:t>
      </w:r>
    </w:p>
    <w:p w14:paraId="4A8BB2FC"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b/>
      </w:r>
    </w:p>
    <w:p w14:paraId="6C5E479C"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Az ügyvezetés munkavállalókat is feljogosíthat cégjegyzésre, sőt a cégvezető számára általános képviseleti jogot biztosíthat. A cégvezető, illetve a munkavállaló képviseleti jogát érvényesen nem ruházhatja másra. Eddig munkavállalók esetén két jogosult aláírására volt szükség, ezt a szabályt most a Ptk. a társasági jog körében nem tartalmazza.</w:t>
      </w:r>
    </w:p>
    <w:p w14:paraId="77EE123F"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w:t>
      </w:r>
      <w:r w:rsidRPr="00634083">
        <w:rPr>
          <w:rFonts w:ascii="Times New Roman" w:eastAsia="Times New Roman" w:hAnsi="Times New Roman" w:cs="Times New Roman"/>
          <w:i/>
          <w:iCs/>
          <w:sz w:val="24"/>
          <w:szCs w:val="24"/>
          <w:lang w:eastAsia="hu-HU"/>
        </w:rPr>
        <w:t>cégvezető</w:t>
      </w:r>
      <w:r w:rsidRPr="00634083">
        <w:rPr>
          <w:rFonts w:ascii="Times New Roman" w:eastAsia="Times New Roman" w:hAnsi="Times New Roman" w:cs="Times New Roman"/>
          <w:sz w:val="24"/>
          <w:szCs w:val="24"/>
          <w:lang w:eastAsia="hu-HU"/>
        </w:rPr>
        <w:t xml:space="preserve"> sajátos társasági vezető, aki ugyan nem vezető tisztségviselő, de reá általában a vezető tisztségviselőkre vonatkozó szabályok az irányadók (Ptk. 3:113. §). A cégvezető munkavállaló, akit a taggyűlés (nem a társasági szerződés!) általános és önálló képviseleti (cégjegyzési) joggal ruház fel. Egy társaságnál több cégvezető is működhet, és telephelyeken (fióktelepeken) is működhetnek korlátozott jogkörű cégvezetők. A cégvezető a vezető tisztségviselő rendelkezése alapján irányítja a társaság folyamatos működését.</w:t>
      </w:r>
    </w:p>
    <w:p w14:paraId="033EEE5B"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b/>
      </w:r>
    </w:p>
    <w:p w14:paraId="204AC917"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Megjegyezzük, hogy főleg az rt.-nél különleges ügyvezetési formák találhatók. Az egyik a következő pontban tárgyalandó ún. </w:t>
      </w:r>
      <w:r w:rsidRPr="00634083">
        <w:rPr>
          <w:rFonts w:ascii="Times New Roman" w:eastAsia="Times New Roman" w:hAnsi="Times New Roman" w:cs="Times New Roman"/>
          <w:i/>
          <w:sz w:val="24"/>
          <w:szCs w:val="24"/>
          <w:lang w:eastAsia="hu-HU"/>
        </w:rPr>
        <w:t>ügydöntő</w:t>
      </w:r>
      <w:r w:rsidRPr="00634083">
        <w:rPr>
          <w:rFonts w:ascii="Times New Roman" w:eastAsia="Times New Roman" w:hAnsi="Times New Roman" w:cs="Times New Roman"/>
          <w:sz w:val="24"/>
          <w:szCs w:val="24"/>
          <w:lang w:eastAsia="hu-HU"/>
        </w:rPr>
        <w:t xml:space="preserve"> </w:t>
      </w:r>
      <w:r w:rsidRPr="00634083">
        <w:rPr>
          <w:rFonts w:ascii="Times New Roman" w:eastAsia="Times New Roman" w:hAnsi="Times New Roman" w:cs="Times New Roman"/>
          <w:i/>
          <w:sz w:val="24"/>
          <w:szCs w:val="24"/>
          <w:lang w:eastAsia="hu-HU"/>
        </w:rPr>
        <w:t>felügyelőbizottság</w:t>
      </w:r>
      <w:r w:rsidRPr="00634083">
        <w:rPr>
          <w:rFonts w:ascii="Times New Roman" w:eastAsia="Times New Roman" w:hAnsi="Times New Roman" w:cs="Times New Roman"/>
          <w:sz w:val="24"/>
          <w:szCs w:val="24"/>
          <w:lang w:eastAsia="hu-HU"/>
        </w:rPr>
        <w:t xml:space="preserve">. A zártkörűen működő </w:t>
      </w:r>
      <w:r w:rsidRPr="00634083">
        <w:rPr>
          <w:rFonts w:ascii="Times New Roman" w:eastAsia="Times New Roman" w:hAnsi="Times New Roman" w:cs="Times New Roman"/>
          <w:sz w:val="24"/>
          <w:szCs w:val="24"/>
          <w:lang w:eastAsia="hu-HU"/>
        </w:rPr>
        <w:lastRenderedPageBreak/>
        <w:t xml:space="preserve">rt.-nél emellett mód van </w:t>
      </w:r>
      <w:r w:rsidRPr="00634083">
        <w:rPr>
          <w:rFonts w:ascii="Times New Roman" w:eastAsia="Times New Roman" w:hAnsi="Times New Roman" w:cs="Times New Roman"/>
          <w:i/>
          <w:sz w:val="24"/>
          <w:szCs w:val="24"/>
          <w:lang w:eastAsia="hu-HU"/>
        </w:rPr>
        <w:t>egyszemélyes ügyvezetésre</w:t>
      </w:r>
      <w:r w:rsidRPr="00634083">
        <w:rPr>
          <w:rFonts w:ascii="Times New Roman" w:eastAsia="Times New Roman" w:hAnsi="Times New Roman" w:cs="Times New Roman"/>
          <w:sz w:val="24"/>
          <w:szCs w:val="24"/>
          <w:lang w:eastAsia="hu-HU"/>
        </w:rPr>
        <w:t xml:space="preserve">, amikor is a vezérigazgató gyakorolja az igazgatóság hatáskörét. A nyilvánosan működő rt.-knél pedig lehetőség nyílik igazgatóság és felügyelőbizottság kettős rendszere helyett az angol-amerikai egységes irányítási rendszer (Board-rendszer) választására. A </w:t>
      </w:r>
      <w:proofErr w:type="spellStart"/>
      <w:r w:rsidRPr="00634083">
        <w:rPr>
          <w:rFonts w:ascii="Times New Roman" w:eastAsia="Times New Roman" w:hAnsi="Times New Roman" w:cs="Times New Roman"/>
          <w:sz w:val="24"/>
          <w:szCs w:val="24"/>
          <w:lang w:eastAsia="hu-HU"/>
        </w:rPr>
        <w:t>board</w:t>
      </w:r>
      <w:proofErr w:type="spellEnd"/>
      <w:r w:rsidRPr="00634083">
        <w:rPr>
          <w:rFonts w:ascii="Times New Roman" w:eastAsia="Times New Roman" w:hAnsi="Times New Roman" w:cs="Times New Roman"/>
          <w:sz w:val="24"/>
          <w:szCs w:val="24"/>
          <w:lang w:eastAsia="hu-HU"/>
        </w:rPr>
        <w:t xml:space="preserve">-ot a magyar törvény </w:t>
      </w:r>
      <w:r w:rsidRPr="00634083">
        <w:rPr>
          <w:rFonts w:ascii="Times New Roman" w:eastAsia="Times New Roman" w:hAnsi="Times New Roman" w:cs="Times New Roman"/>
          <w:i/>
          <w:sz w:val="24"/>
          <w:szCs w:val="24"/>
          <w:lang w:eastAsia="hu-HU"/>
        </w:rPr>
        <w:t>igazgatótanácsnak</w:t>
      </w:r>
      <w:r w:rsidRPr="00634083">
        <w:rPr>
          <w:rFonts w:ascii="Times New Roman" w:eastAsia="Times New Roman" w:hAnsi="Times New Roman" w:cs="Times New Roman"/>
          <w:sz w:val="24"/>
          <w:szCs w:val="24"/>
          <w:lang w:eastAsia="hu-HU"/>
        </w:rPr>
        <w:t xml:space="preserve"> nevezi.</w:t>
      </w:r>
    </w:p>
    <w:p w14:paraId="70113B64"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p>
    <w:p w14:paraId="60205979" w14:textId="77777777" w:rsidR="005344BB" w:rsidRPr="00634083" w:rsidRDefault="00C33081" w:rsidP="00EC10C5">
      <w:pPr>
        <w:pStyle w:val="Stlus3"/>
      </w:pPr>
      <w:bookmarkStart w:id="349" w:name="_Toc2761135"/>
      <w:bookmarkStart w:id="350" w:name="_Toc13141685"/>
      <w:r>
        <w:t>E</w:t>
      </w:r>
      <w:r w:rsidR="005344BB" w:rsidRPr="00634083">
        <w:t>.3. A társaság felügyelőbizottsága</w:t>
      </w:r>
      <w:bookmarkEnd w:id="349"/>
      <w:bookmarkEnd w:id="350"/>
    </w:p>
    <w:p w14:paraId="54155165"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magyar jog általában (a nyilvánosan működő rt. kivételével) nem ismeri </w:t>
      </w:r>
      <w:r w:rsidRPr="00634083">
        <w:rPr>
          <w:rFonts w:ascii="Times New Roman" w:eastAsia="Times New Roman" w:hAnsi="Times New Roman" w:cs="Times New Roman"/>
          <w:i/>
          <w:sz w:val="24"/>
          <w:szCs w:val="24"/>
          <w:lang w:eastAsia="hu-HU"/>
        </w:rPr>
        <w:t xml:space="preserve">az angol-amerikai egységes </w:t>
      </w:r>
      <w:proofErr w:type="spellStart"/>
      <w:r w:rsidRPr="00634083">
        <w:rPr>
          <w:rFonts w:ascii="Times New Roman" w:eastAsia="Times New Roman" w:hAnsi="Times New Roman" w:cs="Times New Roman"/>
          <w:i/>
          <w:sz w:val="24"/>
          <w:szCs w:val="24"/>
          <w:lang w:eastAsia="hu-HU"/>
        </w:rPr>
        <w:t>board</w:t>
      </w:r>
      <w:proofErr w:type="spellEnd"/>
      <w:r w:rsidRPr="00634083">
        <w:rPr>
          <w:rFonts w:ascii="Times New Roman" w:eastAsia="Times New Roman" w:hAnsi="Times New Roman" w:cs="Times New Roman"/>
          <w:i/>
          <w:sz w:val="24"/>
          <w:szCs w:val="24"/>
          <w:lang w:eastAsia="hu-HU"/>
        </w:rPr>
        <w:t>-ot</w:t>
      </w:r>
      <w:r w:rsidRPr="00634083">
        <w:rPr>
          <w:rFonts w:ascii="Times New Roman" w:eastAsia="Times New Roman" w:hAnsi="Times New Roman" w:cs="Times New Roman"/>
          <w:sz w:val="24"/>
          <w:szCs w:val="24"/>
          <w:lang w:eastAsia="hu-HU"/>
        </w:rPr>
        <w:t xml:space="preserve">, hanem </w:t>
      </w:r>
      <w:r w:rsidRPr="00634083">
        <w:rPr>
          <w:rFonts w:ascii="Times New Roman" w:eastAsia="Times New Roman" w:hAnsi="Times New Roman" w:cs="Times New Roman"/>
          <w:i/>
          <w:sz w:val="24"/>
          <w:szCs w:val="24"/>
          <w:lang w:eastAsia="hu-HU"/>
        </w:rPr>
        <w:t>elkülöníti az operatív ügyvezetéstől a tulajdonosi ellenőrzés szerveként</w:t>
      </w:r>
      <w:r w:rsidRPr="00634083">
        <w:rPr>
          <w:rFonts w:ascii="Times New Roman" w:eastAsia="Times New Roman" w:hAnsi="Times New Roman" w:cs="Times New Roman"/>
          <w:sz w:val="24"/>
          <w:szCs w:val="24"/>
          <w:lang w:eastAsia="hu-HU"/>
        </w:rPr>
        <w:t xml:space="preserve"> a felügyelőbizottságot. A felügyelőbizottság tehát egyfelől a </w:t>
      </w:r>
      <w:r w:rsidRPr="00634083">
        <w:rPr>
          <w:rFonts w:ascii="Times New Roman" w:eastAsia="Times New Roman" w:hAnsi="Times New Roman" w:cs="Times New Roman"/>
          <w:i/>
          <w:iCs/>
          <w:sz w:val="24"/>
          <w:szCs w:val="24"/>
          <w:lang w:eastAsia="hu-HU"/>
        </w:rPr>
        <w:t>tulajdonosi ellenőrzés szerve,</w:t>
      </w:r>
      <w:r w:rsidRPr="00634083">
        <w:rPr>
          <w:rFonts w:ascii="Times New Roman" w:eastAsia="Times New Roman" w:hAnsi="Times New Roman" w:cs="Times New Roman"/>
          <w:sz w:val="24"/>
          <w:szCs w:val="24"/>
          <w:lang w:eastAsia="hu-HU"/>
        </w:rPr>
        <w:t xml:space="preserve"> a taggyűlés részére ellenőriz, továbbá </w:t>
      </w:r>
      <w:r w:rsidRPr="00634083">
        <w:rPr>
          <w:rFonts w:ascii="Times New Roman" w:eastAsia="Times New Roman" w:hAnsi="Times New Roman" w:cs="Times New Roman"/>
          <w:i/>
          <w:iCs/>
          <w:sz w:val="24"/>
          <w:szCs w:val="24"/>
          <w:lang w:eastAsia="hu-HU"/>
        </w:rPr>
        <w:t>általános ellenőrző szerv</w:t>
      </w:r>
      <w:r w:rsidRPr="00634083">
        <w:rPr>
          <w:rFonts w:ascii="Times New Roman" w:eastAsia="Times New Roman" w:hAnsi="Times New Roman" w:cs="Times New Roman"/>
          <w:sz w:val="24"/>
          <w:szCs w:val="24"/>
          <w:lang w:eastAsia="hu-HU"/>
        </w:rPr>
        <w:t xml:space="preserve">, amely elvileg a társaság bármely ügyét megvizsgálhatja, vele szemben nincs üzleti titok. Az ügyvezetés köteles a felügyelőbizottságnak valamennyi iratot rendelkezésre bocsátani, a kért felvilágosítást teljes terjedelemben megadni. </w:t>
      </w:r>
    </w:p>
    <w:p w14:paraId="50E072BF"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felügyelőbizottság továbbá </w:t>
      </w:r>
      <w:r w:rsidRPr="00634083">
        <w:rPr>
          <w:rFonts w:ascii="Times New Roman" w:eastAsia="Times New Roman" w:hAnsi="Times New Roman" w:cs="Times New Roman"/>
          <w:i/>
          <w:sz w:val="24"/>
          <w:szCs w:val="24"/>
          <w:lang w:eastAsia="hu-HU"/>
        </w:rPr>
        <w:t>testület</w:t>
      </w:r>
      <w:r w:rsidRPr="00634083">
        <w:rPr>
          <w:rFonts w:ascii="Times New Roman" w:eastAsia="Times New Roman" w:hAnsi="Times New Roman" w:cs="Times New Roman"/>
          <w:sz w:val="24"/>
          <w:szCs w:val="24"/>
          <w:lang w:eastAsia="hu-HU"/>
        </w:rPr>
        <w:t xml:space="preserve">, tagjainak számát a Ptk. három főben állapítja meg, de ettől a szabálytól el lehet térni és a felügyelőbizottság több tagból is állhat. (A legalább szó itt is hiányzik, aligha helyes, ha a felügyelőbizottság egy vagy két tagból áll, de ezt a Ptk. csak részlegesen – a kötelező, illetve „ügydöntő” – felügyelőbizottság esetén tiltja.) A felügyelőbizottság </w:t>
      </w:r>
      <w:proofErr w:type="gramStart"/>
      <w:r w:rsidRPr="00634083">
        <w:rPr>
          <w:rFonts w:ascii="Times New Roman" w:eastAsia="Times New Roman" w:hAnsi="Times New Roman" w:cs="Times New Roman"/>
          <w:sz w:val="24"/>
          <w:szCs w:val="24"/>
          <w:lang w:eastAsia="hu-HU"/>
        </w:rPr>
        <w:t>a</w:t>
      </w:r>
      <w:proofErr w:type="gramEnd"/>
      <w:r w:rsidRPr="00634083">
        <w:rPr>
          <w:rFonts w:ascii="Times New Roman" w:eastAsia="Times New Roman" w:hAnsi="Times New Roman" w:cs="Times New Roman"/>
          <w:sz w:val="24"/>
          <w:szCs w:val="24"/>
          <w:lang w:eastAsia="hu-HU"/>
        </w:rPr>
        <w:t xml:space="preserve"> ellenőrzési feladatokat szétoszthatja tagjai között, de döntéseket csak a felügyelőbizottság, mint testület hozhat.</w:t>
      </w:r>
    </w:p>
    <w:p w14:paraId="4D9EE82C"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felügyelőbizottsági tagokat a tag(köz)gyűlés választja meg, ugyanúgy határozott időre, mint a vezető tisztségviselőket (ez alól kivétel az első felügyelőbizottság, mert induláskor a felügyelőbizottsági tagokat a létesítő okirat sorolja fel). A felügyelőbizottsági tagság időtartamát a Ptk. öt évben határozza meg, de tiltás hiányában a társasági szerződés ettől eltérő, akár öt évnél hosszabb időtartamot is megállapíthat (ez aligha helyes), sőt határozatlan időre szóló felügyelőbizottság is lehetséges. A felügyelőbizottsági tagság megbízási jogviszonyon alapul, a taggyűlés bármikor visszahívhatja a felügyelőbizottsági tagot és az felügyelőbizottsági tag is bármikor lemondhat. A felügyelőbizottság testületként működik, határozatait egyszerű szótöbbséggel hozza. A felügyelőbizottság elnökét – ha ezt a taggyűlés nem vonja saját hatáskörébe – a felügyelőbizottság választja meg tagjai közül. A felügyelőbizottság ügyrendjét a tag(köz)gyűlés hagyja jóvá, e körben a Ptk. csak a legalapvetőbb szabályokat tartalmazza (Ptk. 3:122. §).</w:t>
      </w:r>
    </w:p>
    <w:p w14:paraId="643DB134"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felügyelőbizottság a magyar társasági jogban általában fakultatív szerv, a társulók dönthetnek felállításáról a társasági szerződésben. Kötelező a felügyelőbizottság</w:t>
      </w:r>
    </w:p>
    <w:p w14:paraId="2DC41433" w14:textId="77777777" w:rsidR="005344BB" w:rsidRPr="00634083" w:rsidRDefault="005344BB" w:rsidP="00EC10C5">
      <w:pPr>
        <w:pStyle w:val="Stlus2"/>
        <w:rPr>
          <w:rFonts w:eastAsia="Times New Roman"/>
        </w:rPr>
      </w:pPr>
      <w:r w:rsidRPr="00634083">
        <w:rPr>
          <w:rFonts w:eastAsia="Times New Roman"/>
        </w:rPr>
        <w:t>minden nyilvánosan működő részvénytársaságnál, ha nem egységes irányítási rendszerben működik,</w:t>
      </w:r>
    </w:p>
    <w:p w14:paraId="5647A91D" w14:textId="77777777" w:rsidR="005344BB" w:rsidRPr="00634083" w:rsidRDefault="005344BB" w:rsidP="00EC10C5">
      <w:pPr>
        <w:pStyle w:val="Stlus2"/>
        <w:rPr>
          <w:rFonts w:eastAsia="Times New Roman"/>
        </w:rPr>
      </w:pPr>
      <w:r w:rsidRPr="00634083">
        <w:rPr>
          <w:rFonts w:eastAsia="Times New Roman"/>
        </w:rPr>
        <w:t>a zártan működő részvénytársaságnál, ha a szavazati jogok 5%-</w:t>
      </w:r>
      <w:proofErr w:type="spellStart"/>
      <w:r w:rsidRPr="00634083">
        <w:rPr>
          <w:rFonts w:eastAsia="Times New Roman"/>
        </w:rPr>
        <w:t>ával</w:t>
      </w:r>
      <w:proofErr w:type="spellEnd"/>
      <w:r w:rsidRPr="00634083">
        <w:rPr>
          <w:rFonts w:eastAsia="Times New Roman"/>
        </w:rPr>
        <w:t xml:space="preserve"> rendelkező részvényesek ezt kívánják,</w:t>
      </w:r>
    </w:p>
    <w:p w14:paraId="162FAD68" w14:textId="77777777" w:rsidR="005344BB" w:rsidRPr="00634083" w:rsidRDefault="005344BB" w:rsidP="00EC10C5">
      <w:pPr>
        <w:pStyle w:val="Stlus2"/>
        <w:rPr>
          <w:rFonts w:eastAsia="Times New Roman"/>
        </w:rPr>
      </w:pPr>
      <w:r w:rsidRPr="00634083">
        <w:rPr>
          <w:rFonts w:eastAsia="Times New Roman"/>
        </w:rPr>
        <w:t>bármely gazdasági társaságnál, ha a társaság teljes munkaidőben foglalkoztatott munkavállalóinak száma éves átlagban a 200 főt meghaladja, kivéve, ha az üzemi tanács lemondott a felügyelőbizottságban való munkavállalói részvételről, és az igazgatósággal kötött megállapodásban a munkavállalók számára más gazdasági előnyöket kötött ki;</w:t>
      </w:r>
    </w:p>
    <w:p w14:paraId="3E1C2987" w14:textId="77777777" w:rsidR="005344BB" w:rsidRPr="00634083" w:rsidRDefault="005344BB" w:rsidP="00EC10C5">
      <w:pPr>
        <w:pStyle w:val="Stlus2"/>
        <w:rPr>
          <w:rFonts w:eastAsia="Times New Roman"/>
        </w:rPr>
      </w:pPr>
      <w:r w:rsidRPr="00634083">
        <w:rPr>
          <w:rFonts w:eastAsia="Times New Roman"/>
        </w:rPr>
        <w:t>ha ezt külön törvény, pl. a köztulajdon védelme érdekében előírja (ilyen törvény például az államháztartási törvénybe beépített 2003-as, ún. üvegzseb törvény a többségi állami tulajdonú társaságoknál).</w:t>
      </w:r>
    </w:p>
    <w:p w14:paraId="5971E31A"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b/>
      </w:r>
    </w:p>
    <w:p w14:paraId="01224C18"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lastRenderedPageBreak/>
        <w:t>Az eredménybeszámolóról a közgyűlés csak a felügyelőbizottság írásbeli véleménye birtokában határozhat, a társasági szerződés bármely üzletpolitikai jelentés előzetes megvizsgálását a felügyelőbizottság hatáskörébe utalhatja.</w:t>
      </w:r>
    </w:p>
    <w:p w14:paraId="1BCDDA8F"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Az ügyvezetés és a felügyelőbizottság a magyar társasági jogban főszabályként </w:t>
      </w:r>
      <w:r w:rsidRPr="00634083">
        <w:rPr>
          <w:rFonts w:ascii="Times New Roman" w:eastAsia="Times New Roman" w:hAnsi="Times New Roman" w:cs="Times New Roman"/>
          <w:i/>
          <w:iCs/>
          <w:sz w:val="24"/>
          <w:szCs w:val="24"/>
          <w:lang w:eastAsia="hu-HU"/>
        </w:rPr>
        <w:t>egymás mellé rendelt</w:t>
      </w:r>
      <w:r w:rsidRPr="00634083">
        <w:rPr>
          <w:rFonts w:ascii="Times New Roman" w:eastAsia="Times New Roman" w:hAnsi="Times New Roman" w:cs="Times New Roman"/>
          <w:sz w:val="24"/>
          <w:szCs w:val="24"/>
          <w:lang w:eastAsia="hu-HU"/>
        </w:rPr>
        <w:t xml:space="preserve"> társasági szerv, véleményük tehát egymástól eltérhet, vita esetén a közös felettes, a taggyűlés dönt. Ha azonban a felügyelőbizottság megítélése szerint az ügyvezetés tevékenysége </w:t>
      </w:r>
      <w:r w:rsidRPr="00634083">
        <w:rPr>
          <w:rFonts w:ascii="Times New Roman" w:eastAsia="Times New Roman" w:hAnsi="Times New Roman" w:cs="Times New Roman"/>
          <w:i/>
          <w:iCs/>
          <w:sz w:val="24"/>
          <w:szCs w:val="24"/>
          <w:lang w:eastAsia="hu-HU"/>
        </w:rPr>
        <w:t>a)</w:t>
      </w:r>
      <w:r w:rsidRPr="00634083">
        <w:rPr>
          <w:rFonts w:ascii="Times New Roman" w:eastAsia="Times New Roman" w:hAnsi="Times New Roman" w:cs="Times New Roman"/>
          <w:sz w:val="24"/>
          <w:szCs w:val="24"/>
          <w:lang w:eastAsia="hu-HU"/>
        </w:rPr>
        <w:t xml:space="preserve"> jogszabályba, </w:t>
      </w:r>
      <w:r w:rsidRPr="00634083">
        <w:rPr>
          <w:rFonts w:ascii="Times New Roman" w:eastAsia="Times New Roman" w:hAnsi="Times New Roman" w:cs="Times New Roman"/>
          <w:i/>
          <w:iCs/>
          <w:sz w:val="24"/>
          <w:szCs w:val="24"/>
          <w:lang w:eastAsia="hu-HU"/>
        </w:rPr>
        <w:t>b)</w:t>
      </w:r>
      <w:r w:rsidRPr="00634083">
        <w:rPr>
          <w:rFonts w:ascii="Times New Roman" w:eastAsia="Times New Roman" w:hAnsi="Times New Roman" w:cs="Times New Roman"/>
          <w:sz w:val="24"/>
          <w:szCs w:val="24"/>
          <w:lang w:eastAsia="hu-HU"/>
        </w:rPr>
        <w:t xml:space="preserve"> a társasági szerződésbe, </w:t>
      </w:r>
      <w:r w:rsidRPr="00634083">
        <w:rPr>
          <w:rFonts w:ascii="Times New Roman" w:eastAsia="Times New Roman" w:hAnsi="Times New Roman" w:cs="Times New Roman"/>
          <w:i/>
          <w:iCs/>
          <w:sz w:val="24"/>
          <w:szCs w:val="24"/>
          <w:lang w:eastAsia="hu-HU"/>
        </w:rPr>
        <w:t>c)</w:t>
      </w:r>
      <w:r w:rsidRPr="00634083">
        <w:rPr>
          <w:rFonts w:ascii="Times New Roman" w:eastAsia="Times New Roman" w:hAnsi="Times New Roman" w:cs="Times New Roman"/>
          <w:sz w:val="24"/>
          <w:szCs w:val="24"/>
          <w:lang w:eastAsia="hu-HU"/>
        </w:rPr>
        <w:t xml:space="preserve"> a taggyűlés határozatába ütközik, vagy </w:t>
      </w:r>
      <w:r w:rsidRPr="00634083">
        <w:rPr>
          <w:rFonts w:ascii="Times New Roman" w:eastAsia="Times New Roman" w:hAnsi="Times New Roman" w:cs="Times New Roman"/>
          <w:i/>
          <w:iCs/>
          <w:sz w:val="24"/>
          <w:szCs w:val="24"/>
          <w:lang w:eastAsia="hu-HU"/>
        </w:rPr>
        <w:t>d)</w:t>
      </w:r>
      <w:r w:rsidRPr="00634083">
        <w:rPr>
          <w:rFonts w:ascii="Times New Roman" w:eastAsia="Times New Roman" w:hAnsi="Times New Roman" w:cs="Times New Roman"/>
          <w:sz w:val="24"/>
          <w:szCs w:val="24"/>
          <w:lang w:eastAsia="hu-HU"/>
        </w:rPr>
        <w:t xml:space="preserve"> „egyébként” sérti a gazdasági társaság vagy a tagok érdekeit, a felügyelőbizottság jogosult a társaság taggyűlése rendkívüli ülésének összehívására és a taggyűlés döntésének kvázi kikényszerítésére.</w:t>
      </w:r>
    </w:p>
    <w:p w14:paraId="43466F60"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felügyelőbizottság tagjai korlátlanul és egyetemlegesen felelnek a társasággal szemben az ellenőrzési kötelezettségeik megszegése által a társaságnak okozott károkért a szerződésszegésre vonatkozó általános szabályok szerint. A felügyelőbizottsági tagság ugyanis megbízási jogviszonyon alapszik, munkavállaló – a </w:t>
      </w:r>
      <w:r w:rsidRPr="00634083">
        <w:rPr>
          <w:rFonts w:ascii="Times New Roman" w:eastAsia="Times New Roman" w:hAnsi="Times New Roman" w:cs="Times New Roman"/>
          <w:i/>
          <w:sz w:val="24"/>
          <w:szCs w:val="24"/>
          <w:lang w:eastAsia="hu-HU"/>
        </w:rPr>
        <w:t xml:space="preserve">munkavállalói </w:t>
      </w:r>
      <w:proofErr w:type="spellStart"/>
      <w:r w:rsidRPr="00634083">
        <w:rPr>
          <w:rFonts w:ascii="Times New Roman" w:eastAsia="Times New Roman" w:hAnsi="Times New Roman" w:cs="Times New Roman"/>
          <w:i/>
          <w:sz w:val="24"/>
          <w:szCs w:val="24"/>
          <w:lang w:eastAsia="hu-HU"/>
        </w:rPr>
        <w:t>participáció</w:t>
      </w:r>
      <w:proofErr w:type="spellEnd"/>
      <w:r w:rsidRPr="00634083">
        <w:rPr>
          <w:rFonts w:ascii="Times New Roman" w:eastAsia="Times New Roman" w:hAnsi="Times New Roman" w:cs="Times New Roman"/>
          <w:sz w:val="24"/>
          <w:szCs w:val="24"/>
          <w:lang w:eastAsia="hu-HU"/>
        </w:rPr>
        <w:t xml:space="preserve"> következőkben tárgyalandó estét kivéve – nem lehet a felügyelőbizottság tagja, a felügyelőbizottsági tagság munkaviszonyon nem alapulhat.</w:t>
      </w:r>
    </w:p>
    <w:p w14:paraId="002B8989"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b/>
      </w:r>
    </w:p>
    <w:p w14:paraId="21480BDD" w14:textId="77777777" w:rsidR="005344BB" w:rsidRPr="00634083" w:rsidRDefault="005344BB" w:rsidP="00EC10C5">
      <w:pPr>
        <w:pStyle w:val="Stlus1"/>
        <w:rPr>
          <w:rFonts w:eastAsia="Times New Roman"/>
        </w:rPr>
      </w:pPr>
      <w:bookmarkStart w:id="351" w:name="_Toc2761136"/>
      <w:bookmarkStart w:id="352" w:name="_Toc13141686"/>
      <w:r w:rsidRPr="00634083">
        <w:rPr>
          <w:rFonts w:eastAsia="Times New Roman"/>
        </w:rPr>
        <w:t xml:space="preserve">Dolgozói </w:t>
      </w:r>
      <w:proofErr w:type="spellStart"/>
      <w:r w:rsidRPr="00634083">
        <w:rPr>
          <w:rFonts w:eastAsia="Times New Roman"/>
        </w:rPr>
        <w:t>participáció</w:t>
      </w:r>
      <w:proofErr w:type="spellEnd"/>
      <w:r w:rsidRPr="00634083">
        <w:rPr>
          <w:rFonts w:eastAsia="Times New Roman"/>
        </w:rPr>
        <w:t xml:space="preserve"> – munkavállalói küldöttek a felügyelőbizottságban</w:t>
      </w:r>
      <w:bookmarkEnd w:id="351"/>
      <w:bookmarkEnd w:id="352"/>
    </w:p>
    <w:p w14:paraId="63FBCE83"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felügyelőbizottságban tehát általában csak „külsők” vehetnek részt, vezető tisztségviselők (hozzátartozóik), illetve a társaság munkavállalói nem. Ez alól kivétel az ún. </w:t>
      </w:r>
      <w:r w:rsidRPr="00634083">
        <w:rPr>
          <w:rFonts w:ascii="Times New Roman" w:eastAsia="Times New Roman" w:hAnsi="Times New Roman" w:cs="Times New Roman"/>
          <w:i/>
          <w:iCs/>
          <w:sz w:val="24"/>
          <w:szCs w:val="24"/>
          <w:lang w:eastAsia="hu-HU"/>
        </w:rPr>
        <w:t xml:space="preserve">dolgozói </w:t>
      </w:r>
      <w:proofErr w:type="spellStart"/>
      <w:r w:rsidRPr="00634083">
        <w:rPr>
          <w:rFonts w:ascii="Times New Roman" w:eastAsia="Times New Roman" w:hAnsi="Times New Roman" w:cs="Times New Roman"/>
          <w:i/>
          <w:iCs/>
          <w:sz w:val="24"/>
          <w:szCs w:val="24"/>
          <w:lang w:eastAsia="hu-HU"/>
        </w:rPr>
        <w:t>participáció</w:t>
      </w:r>
      <w:proofErr w:type="spellEnd"/>
      <w:r w:rsidRPr="00634083">
        <w:rPr>
          <w:rFonts w:ascii="Times New Roman" w:eastAsia="Times New Roman" w:hAnsi="Times New Roman" w:cs="Times New Roman"/>
          <w:sz w:val="24"/>
          <w:szCs w:val="24"/>
          <w:lang w:eastAsia="hu-HU"/>
        </w:rPr>
        <w:t xml:space="preserve"> Ptk. 3:124–128. §-ban szabályozott intézménye, azaz a társaság munkavállalóinak a felügyelőbizottságba való intézményes bevonása a nagyobb társaságoknál. Ezt a </w:t>
      </w:r>
      <w:proofErr w:type="spellStart"/>
      <w:r w:rsidRPr="00634083">
        <w:rPr>
          <w:rFonts w:ascii="Times New Roman" w:eastAsia="Times New Roman" w:hAnsi="Times New Roman" w:cs="Times New Roman"/>
          <w:sz w:val="24"/>
          <w:szCs w:val="24"/>
          <w:lang w:eastAsia="hu-HU"/>
        </w:rPr>
        <w:t>participációt</w:t>
      </w:r>
      <w:proofErr w:type="spellEnd"/>
      <w:r w:rsidRPr="00634083">
        <w:rPr>
          <w:rFonts w:ascii="Times New Roman" w:eastAsia="Times New Roman" w:hAnsi="Times New Roman" w:cs="Times New Roman"/>
          <w:sz w:val="24"/>
          <w:szCs w:val="24"/>
          <w:lang w:eastAsia="hu-HU"/>
        </w:rPr>
        <w:t xml:space="preserve"> német mintára már az első, 1988-as Gt. bevezette és a szabályok lényegében azóta nem változtak. „Nagyvállalatnak” minősül minden gazdasági társaság (tehát nemcsak az rt. és a kft.), amelynek a teljes munkaidőben foglalkoztatott munkavállalói száma éves átlagban a 200 főt meghaladja. Az ilyen társaságoknál a felügyelőbizottság tagjainak egyharmadát a társaság dolgozói közül az üzemi tanács jelöli. (Ezeknél a vállalatoknál kötelező az üzemi tanács.) Tört szám esetén az egyharmadot a dolgozókra kedvezőbb számítási móddal kell megállapítani (pl. 8 tagú felügyelőbizottságnál 3 munkavállalói küldött). </w:t>
      </w:r>
    </w:p>
    <w:p w14:paraId="4E2E6CC7"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munkavállalói küldöttek </w:t>
      </w:r>
      <w:r w:rsidRPr="00634083">
        <w:rPr>
          <w:rFonts w:ascii="Times New Roman" w:eastAsia="Times New Roman" w:hAnsi="Times New Roman" w:cs="Times New Roman"/>
          <w:i/>
          <w:iCs/>
          <w:sz w:val="24"/>
          <w:szCs w:val="24"/>
          <w:lang w:eastAsia="hu-HU"/>
        </w:rPr>
        <w:t>egyenjogúak</w:t>
      </w:r>
      <w:r w:rsidRPr="00634083">
        <w:rPr>
          <w:rFonts w:ascii="Times New Roman" w:eastAsia="Times New Roman" w:hAnsi="Times New Roman" w:cs="Times New Roman"/>
          <w:sz w:val="24"/>
          <w:szCs w:val="24"/>
          <w:lang w:eastAsia="hu-HU"/>
        </w:rPr>
        <w:t xml:space="preserve"> a felügyelőbizottság többi tagjával, közülük akár a felügyelő bizottság elnöke is megválasztható. Ha a felügyelőbizottsági tagságért díjazás jár, a munkavállalói küldöttet ugyanolyan díjazás illeti meg, mint a felügyelőbizottság többi tagját. Az üzemi tanács jelöltjét a taggyűlés köteles megválasztani a felügyelőbizottság tagjává, kivéve, ha törvényes kizáró ok áll fenn vele szemben (pl. a vezető tisztségviselő hozzátartozója). A munkavállalói küldöttet visszahívni is csak az üzemi tanács javaslatára lehet. Ha azonban a küldött munkaviszonya a társasággal megszűnik, a felügyelőbizottság tagsága is megszűnik.</w:t>
      </w:r>
    </w:p>
    <w:p w14:paraId="660FEB6D" w14:textId="77777777" w:rsidR="005344BB"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munkavállalói </w:t>
      </w:r>
      <w:proofErr w:type="spellStart"/>
      <w:r w:rsidRPr="00634083">
        <w:rPr>
          <w:rFonts w:ascii="Times New Roman" w:eastAsia="Times New Roman" w:hAnsi="Times New Roman" w:cs="Times New Roman"/>
          <w:sz w:val="24"/>
          <w:szCs w:val="24"/>
          <w:lang w:eastAsia="hu-HU"/>
        </w:rPr>
        <w:t>participáció</w:t>
      </w:r>
      <w:proofErr w:type="spellEnd"/>
      <w:r w:rsidRPr="00634083">
        <w:rPr>
          <w:rFonts w:ascii="Times New Roman" w:eastAsia="Times New Roman" w:hAnsi="Times New Roman" w:cs="Times New Roman"/>
          <w:sz w:val="24"/>
          <w:szCs w:val="24"/>
          <w:lang w:eastAsia="hu-HU"/>
        </w:rPr>
        <w:t xml:space="preserve"> alkalmazása annyiban diszpozitív, hogy az üzemi tanács a társaság ügyvezetésével kötött megállapodással más gazdasági előny fejében „lemondhat” </w:t>
      </w:r>
      <w:proofErr w:type="spellStart"/>
      <w:r w:rsidRPr="00634083">
        <w:rPr>
          <w:rFonts w:ascii="Times New Roman" w:eastAsia="Times New Roman" w:hAnsi="Times New Roman" w:cs="Times New Roman"/>
          <w:sz w:val="24"/>
          <w:szCs w:val="24"/>
          <w:lang w:eastAsia="hu-HU"/>
        </w:rPr>
        <w:t>participációs</w:t>
      </w:r>
      <w:proofErr w:type="spellEnd"/>
      <w:r w:rsidRPr="00634083">
        <w:rPr>
          <w:rFonts w:ascii="Times New Roman" w:eastAsia="Times New Roman" w:hAnsi="Times New Roman" w:cs="Times New Roman"/>
          <w:sz w:val="24"/>
          <w:szCs w:val="24"/>
          <w:lang w:eastAsia="hu-HU"/>
        </w:rPr>
        <w:t xml:space="preserve"> jogairól (pl. béremelés, szociális-jóléti szolgáltatások), de ha ilyen megállapodás nincs, az </w:t>
      </w:r>
      <w:proofErr w:type="spellStart"/>
      <w:r w:rsidRPr="00634083">
        <w:rPr>
          <w:rFonts w:ascii="Times New Roman" w:eastAsia="Times New Roman" w:hAnsi="Times New Roman" w:cs="Times New Roman"/>
          <w:sz w:val="24"/>
          <w:szCs w:val="24"/>
          <w:lang w:eastAsia="hu-HU"/>
        </w:rPr>
        <w:t>felügylőbizottságban</w:t>
      </w:r>
      <w:proofErr w:type="spellEnd"/>
      <w:r w:rsidRPr="00634083">
        <w:rPr>
          <w:rFonts w:ascii="Times New Roman" w:eastAsia="Times New Roman" w:hAnsi="Times New Roman" w:cs="Times New Roman"/>
          <w:sz w:val="24"/>
          <w:szCs w:val="24"/>
          <w:lang w:eastAsia="hu-HU"/>
        </w:rPr>
        <w:t xml:space="preserve"> kötelező az egyharmados munkavállalói részvétel. A munkavállalói részvétel e megállapodással is legfeljebb öt évre zárható ki, a hosszabb időtartam kikötése semmis. (speciális szabály él a vállalatcsoportban alkalmazott dolgozói </w:t>
      </w:r>
      <w:proofErr w:type="spellStart"/>
      <w:r w:rsidRPr="00634083">
        <w:rPr>
          <w:rFonts w:ascii="Times New Roman" w:eastAsia="Times New Roman" w:hAnsi="Times New Roman" w:cs="Times New Roman"/>
          <w:sz w:val="24"/>
          <w:szCs w:val="24"/>
          <w:lang w:eastAsia="hu-HU"/>
        </w:rPr>
        <w:t>participációra</w:t>
      </w:r>
      <w:proofErr w:type="spellEnd"/>
      <w:r w:rsidRPr="00634083">
        <w:rPr>
          <w:rFonts w:ascii="Times New Roman" w:eastAsia="Times New Roman" w:hAnsi="Times New Roman" w:cs="Times New Roman"/>
          <w:sz w:val="24"/>
          <w:szCs w:val="24"/>
          <w:lang w:eastAsia="hu-HU"/>
        </w:rPr>
        <w:t>, ezt a Ptk. a vállalatcsoport szabályainál rendezi).</w:t>
      </w:r>
    </w:p>
    <w:p w14:paraId="0BC7AC56" w14:textId="77777777" w:rsidR="00C33081" w:rsidRPr="00634083" w:rsidRDefault="00C33081" w:rsidP="00EC10C5">
      <w:pPr>
        <w:spacing w:after="60" w:line="240" w:lineRule="auto"/>
        <w:ind w:firstLine="709"/>
        <w:jc w:val="both"/>
        <w:rPr>
          <w:rFonts w:ascii="Times New Roman" w:eastAsia="Times New Roman" w:hAnsi="Times New Roman" w:cs="Times New Roman"/>
          <w:sz w:val="24"/>
          <w:szCs w:val="24"/>
          <w:lang w:eastAsia="hu-HU"/>
        </w:rPr>
      </w:pPr>
    </w:p>
    <w:p w14:paraId="062B1CC3" w14:textId="77777777" w:rsidR="009A244E" w:rsidRDefault="009A244E" w:rsidP="00EC10C5">
      <w:pPr>
        <w:pStyle w:val="Stlus1"/>
        <w:rPr>
          <w:rFonts w:eastAsia="Times New Roman"/>
        </w:rPr>
      </w:pPr>
      <w:bookmarkStart w:id="353" w:name="_Toc2761137"/>
      <w:bookmarkStart w:id="354" w:name="_Toc13141687"/>
    </w:p>
    <w:p w14:paraId="3EFB1D30" w14:textId="77777777" w:rsidR="009A244E" w:rsidRDefault="009A244E" w:rsidP="00EC10C5">
      <w:pPr>
        <w:pStyle w:val="Stlus1"/>
        <w:rPr>
          <w:rFonts w:eastAsia="Times New Roman"/>
        </w:rPr>
      </w:pPr>
    </w:p>
    <w:p w14:paraId="429B84B1" w14:textId="77777777" w:rsidR="005344BB" w:rsidRPr="00634083" w:rsidRDefault="005344BB" w:rsidP="00EC10C5">
      <w:pPr>
        <w:pStyle w:val="Stlus1"/>
        <w:rPr>
          <w:rFonts w:eastAsia="Times New Roman"/>
        </w:rPr>
      </w:pPr>
      <w:r w:rsidRPr="00634083">
        <w:rPr>
          <w:rFonts w:eastAsia="Times New Roman"/>
        </w:rPr>
        <w:t>Az „ügydöntő felügyelőbizottság”</w:t>
      </w:r>
      <w:bookmarkEnd w:id="353"/>
      <w:bookmarkEnd w:id="354"/>
    </w:p>
    <w:p w14:paraId="633E545D"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lastRenderedPageBreak/>
        <w:t xml:space="preserve"> </w:t>
      </w:r>
    </w:p>
    <w:p w14:paraId="69375A5C"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felügyelőbizottság általános konstrukciójától eltér az ún. </w:t>
      </w:r>
      <w:r w:rsidRPr="00634083">
        <w:rPr>
          <w:rFonts w:ascii="Times New Roman" w:eastAsia="Times New Roman" w:hAnsi="Times New Roman" w:cs="Times New Roman"/>
          <w:i/>
          <w:sz w:val="24"/>
          <w:szCs w:val="24"/>
          <w:lang w:eastAsia="hu-HU"/>
        </w:rPr>
        <w:t>ügydöntő felügyelőbizottság</w:t>
      </w:r>
      <w:r w:rsidRPr="00634083">
        <w:rPr>
          <w:rFonts w:ascii="Times New Roman" w:eastAsia="Times New Roman" w:hAnsi="Times New Roman" w:cs="Times New Roman"/>
          <w:sz w:val="24"/>
          <w:szCs w:val="24"/>
          <w:lang w:eastAsia="hu-HU"/>
        </w:rPr>
        <w:t xml:space="preserve"> Ptk. 3:123. §-ban szabályozott intézménye. A Ptk. valamennyi gazdasági társaságnál lehetővé tette az ügydöntő felügyelőbizottságot. Ügydöntő felügyelőbizottságról akkor beszélhetünk, ha a társasági szerződés az ügyvezetés hatáskörébe tartozó egyes döntéseket (pl. szerződéskötést) a felügyelőbizottság jóváhagyásához köti. A Ptk. </w:t>
      </w:r>
      <w:proofErr w:type="spellStart"/>
      <w:r w:rsidRPr="00634083">
        <w:rPr>
          <w:rFonts w:ascii="Times New Roman" w:eastAsia="Times New Roman" w:hAnsi="Times New Roman" w:cs="Times New Roman"/>
          <w:sz w:val="24"/>
          <w:szCs w:val="24"/>
          <w:lang w:eastAsia="hu-HU"/>
        </w:rPr>
        <w:t>diszozitivitása</w:t>
      </w:r>
      <w:proofErr w:type="spellEnd"/>
      <w:r w:rsidRPr="00634083">
        <w:rPr>
          <w:rFonts w:ascii="Times New Roman" w:eastAsia="Times New Roman" w:hAnsi="Times New Roman" w:cs="Times New Roman"/>
          <w:sz w:val="24"/>
          <w:szCs w:val="24"/>
          <w:lang w:eastAsia="hu-HU"/>
        </w:rPr>
        <w:t xml:space="preserve"> lehetőséget ad arra, hogy a társasági szerződésben a tagok rendelkezhetnek úgy, hogy a taggyűlés csak a felügyelőbizottságot választja meg és a felügyelőbizottságot jogosítja fel az ügyvezető (igazgatóság) kinevezésére (ez esetben a vezető tisztségviselőt nem a taggyűlés választja).</w:t>
      </w:r>
    </w:p>
    <w:p w14:paraId="0B926ED1" w14:textId="77777777" w:rsidR="005344BB"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felügyelőbizottság tagjaira ügydöntő tevékenységük körében a vezető tisztségviselőkre vonatkozó szabályokat kell alkalmazni. Ha a felügyelőbizottság jóváhagyja az ügyvezetés javaslatát, és a hibás döntés kárt okoz, a felügyelőbizottsági tagok az ügyvezetéssel egyetemlegesen felelnek. Ha a felügyelőbizottság nem hagyja jóvá az ügyvezetés javaslatát, a két társasági szerv közti vitában a taggyűlés dönt.</w:t>
      </w:r>
    </w:p>
    <w:p w14:paraId="0BB1F0EA" w14:textId="77777777" w:rsidR="00C33081" w:rsidRPr="00634083" w:rsidRDefault="00C33081" w:rsidP="00EC10C5">
      <w:pPr>
        <w:spacing w:after="60" w:line="240" w:lineRule="auto"/>
        <w:ind w:firstLine="709"/>
        <w:jc w:val="both"/>
        <w:rPr>
          <w:rFonts w:ascii="Times New Roman" w:eastAsia="Times New Roman" w:hAnsi="Times New Roman" w:cs="Times New Roman"/>
          <w:sz w:val="24"/>
          <w:szCs w:val="24"/>
          <w:lang w:eastAsia="hu-HU"/>
        </w:rPr>
      </w:pPr>
    </w:p>
    <w:p w14:paraId="44740232" w14:textId="77777777" w:rsidR="005344BB" w:rsidRPr="00634083" w:rsidRDefault="00C33081" w:rsidP="00EC10C5">
      <w:pPr>
        <w:pStyle w:val="Stlus3"/>
      </w:pPr>
      <w:bookmarkStart w:id="355" w:name="_Toc2761138"/>
      <w:bookmarkStart w:id="356" w:name="_Toc13141688"/>
      <w:r>
        <w:t>E</w:t>
      </w:r>
      <w:r w:rsidR="005344BB" w:rsidRPr="00634083">
        <w:t>.4. A társasági (állandó) könyvvizsgáló jogállása</w:t>
      </w:r>
      <w:bookmarkEnd w:id="355"/>
      <w:bookmarkEnd w:id="356"/>
    </w:p>
    <w:p w14:paraId="3185130E"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társasági (állandó) könyvvizsgálóra lényegében </w:t>
      </w:r>
      <w:r w:rsidRPr="00634083">
        <w:rPr>
          <w:rFonts w:ascii="Times New Roman" w:eastAsia="Times New Roman" w:hAnsi="Times New Roman" w:cs="Times New Roman"/>
          <w:i/>
          <w:iCs/>
          <w:sz w:val="24"/>
          <w:szCs w:val="24"/>
          <w:lang w:eastAsia="hu-HU"/>
        </w:rPr>
        <w:t xml:space="preserve">hármas kötöttségben </w:t>
      </w:r>
      <w:r w:rsidRPr="00634083">
        <w:rPr>
          <w:rFonts w:ascii="Times New Roman" w:eastAsia="Times New Roman" w:hAnsi="Times New Roman" w:cs="Times New Roman"/>
          <w:sz w:val="24"/>
          <w:szCs w:val="24"/>
          <w:lang w:eastAsia="hu-HU"/>
        </w:rPr>
        <w:t>tevékenykedik:</w:t>
      </w:r>
    </w:p>
    <w:p w14:paraId="5938C039" w14:textId="77777777" w:rsidR="005344BB" w:rsidRPr="00634083" w:rsidRDefault="005344BB" w:rsidP="00EC10C5">
      <w:pPr>
        <w:pStyle w:val="Stlus2"/>
        <w:rPr>
          <w:rFonts w:eastAsia="Times New Roman"/>
          <w:lang w:eastAsia="hu-HU"/>
        </w:rPr>
      </w:pPr>
      <w:r w:rsidRPr="00634083">
        <w:rPr>
          <w:rFonts w:eastAsia="Times New Roman"/>
          <w:lang w:eastAsia="hu-HU"/>
        </w:rPr>
        <w:t>egyéni vagy társas vállalkozó (könyvvizsgáló cég), amely polgári jogi megbízási szerződést köt a társaság ügyvezetésével a könyvvizsgálat elvégzésére,</w:t>
      </w:r>
    </w:p>
    <w:p w14:paraId="71333720" w14:textId="77777777" w:rsidR="005344BB" w:rsidRPr="00634083" w:rsidRDefault="005344BB" w:rsidP="00EC10C5">
      <w:pPr>
        <w:pStyle w:val="Stlus2"/>
        <w:rPr>
          <w:rFonts w:eastAsia="Times New Roman"/>
          <w:lang w:eastAsia="hu-HU"/>
        </w:rPr>
      </w:pPr>
      <w:r w:rsidRPr="00634083">
        <w:rPr>
          <w:rFonts w:eastAsia="Times New Roman"/>
          <w:lang w:eastAsia="hu-HU"/>
        </w:rPr>
        <w:t>a társaság tag(köz)gyűlése által választott társasági szerv,</w:t>
      </w:r>
    </w:p>
    <w:p w14:paraId="54D6C075" w14:textId="77777777" w:rsidR="005344BB" w:rsidRPr="00634083" w:rsidRDefault="005344BB" w:rsidP="00EC10C5">
      <w:pPr>
        <w:pStyle w:val="Stlus2"/>
        <w:rPr>
          <w:rFonts w:eastAsia="Times New Roman"/>
          <w:lang w:eastAsia="hu-HU"/>
        </w:rPr>
      </w:pPr>
      <w:r w:rsidRPr="00634083">
        <w:rPr>
          <w:rFonts w:eastAsia="Times New Roman"/>
          <w:lang w:eastAsia="hu-HU"/>
        </w:rPr>
        <w:t>közérdekvédelmi feladatot lát el az állam irányában.</w:t>
      </w:r>
    </w:p>
    <w:p w14:paraId="4DA22FD4"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könyvvizsgálói tevékenység többirányú, általános jelleggel a 2007. évi LXXV. törvény rendelkezik róla, és a Ptk. – éppúgy, mint korábban a Gt. – csak a társaság könyvvizsgálójaként a cégjegyzékbe bejegyzett könyvvizsgálóval foglalkozik (a társaságnál más könyvvizsgálók is működhetnek). A könyvvizsgálói jogállás részletei a könyvvizsgálói törvényre, illetve részlegesen a számviteli törvényre (2000. évi C. törvény) tartoznak.</w:t>
      </w:r>
    </w:p>
    <w:p w14:paraId="6211C45C"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társasági könyvvizsgáló alapfeladata az éves eredménybeszámoló (mérleg) pénzügyi ellenőrzése (ún. auditálás) A társaság könyvvizsgálójának az választható meg a társaság taggyűlése által, aki a könyvvizsgálók nyilvántartásában szerepel. A könyvvizsgálók közhiteles nyilvántartását a Magyar Könyvvizsgálói Kamara végzi. Ha könyvvizsgáló társaságot választ a taggyűlés a társaság könyvvizsgálójának, úgy a társaság mellett meg kell választani azt a személyt is, aki a könyvvizsgáló cég részéről a könyvvizsgálatért személyében is felelős (helyettes könyvvizsgáló is megjelölhető). Ez a személy lehet a könyvvizsgáló társaság tagja, vezető tisztségviselője vagy munkavállalója egyaránt.</w:t>
      </w:r>
    </w:p>
    <w:p w14:paraId="5EA6F049"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társaság könyvvizsgálóját (a létesítő okiratban kijelölt első könyvvizsgáló kivételével) a taggyűlés választja legfeljebb öt évre és legalább a következő eredménybeszámolóig tartó időszakra. Az öt évnél hosszabb vagy határozatlan időre szóló könyvvizsgálói megbízás semmis. A megválasztás után a könyvvizsgálóval a társaság ügyvezetése köt a könyvvizsgálatra írásbeli polgári jogi megbízási szerződést. Ezt a szerződést 90 napon belül meg kell kötni, mert egyébként új könyvvizsgálót kell választani. A könyvvizsgáló díjazását a társaság legfőbb szerve, a tag(köz)gyűlés állapítja meg.</w:t>
      </w:r>
    </w:p>
    <w:p w14:paraId="455D0BD1"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könyvvizsgáló – a felügyelőbizottsághoz hasonlóan – általában fakultatív (nem kötelező) szerv, a tagok a társasági szerződésben szabadon dönthetnek úgy, hogy szükségük van-e könyvvizsgálóra vagy sem. Bizonyos esetekben azonban kötelező a könyvvizsgáló választása</w:t>
      </w:r>
    </w:p>
    <w:p w14:paraId="1D9B2EF7" w14:textId="77777777" w:rsidR="005344BB" w:rsidRPr="00634083" w:rsidRDefault="005344BB" w:rsidP="00EC10C5">
      <w:pPr>
        <w:pStyle w:val="Stlus2"/>
        <w:rPr>
          <w:rFonts w:eastAsia="Times New Roman"/>
          <w:lang w:eastAsia="hu-HU"/>
        </w:rPr>
      </w:pPr>
      <w:r w:rsidRPr="00634083">
        <w:rPr>
          <w:rFonts w:eastAsia="Times New Roman"/>
          <w:lang w:eastAsia="hu-HU"/>
        </w:rPr>
        <w:t>minden nyilvánosan működő részvénytársaságnál,</w:t>
      </w:r>
    </w:p>
    <w:p w14:paraId="65656BA1" w14:textId="77777777" w:rsidR="005344BB" w:rsidRPr="00634083" w:rsidRDefault="005344BB" w:rsidP="00EC10C5">
      <w:pPr>
        <w:pStyle w:val="Stlus2"/>
        <w:rPr>
          <w:rFonts w:eastAsia="Times New Roman"/>
          <w:lang w:eastAsia="hu-HU"/>
        </w:rPr>
      </w:pPr>
      <w:r w:rsidRPr="00634083">
        <w:rPr>
          <w:rFonts w:eastAsia="Times New Roman"/>
          <w:lang w:eastAsia="hu-HU"/>
        </w:rPr>
        <w:lastRenderedPageBreak/>
        <w:t>minden olyan esetben, amikor ezt a számviteli törvény előírja</w:t>
      </w:r>
      <w:r w:rsidRPr="00634083">
        <w:rPr>
          <w:rFonts w:eastAsia="Times New Roman"/>
          <w:vertAlign w:val="superscript"/>
          <w:lang w:eastAsia="hu-HU"/>
        </w:rPr>
        <w:footnoteReference w:id="9"/>
      </w:r>
      <w:r w:rsidRPr="00634083">
        <w:rPr>
          <w:rFonts w:eastAsia="Times New Roman"/>
          <w:lang w:eastAsia="hu-HU"/>
        </w:rPr>
        <w:t xml:space="preserve">. </w:t>
      </w:r>
    </w:p>
    <w:p w14:paraId="4BDBBCC8"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könyvvizsgáló </w:t>
      </w:r>
      <w:r w:rsidRPr="00634083">
        <w:rPr>
          <w:rFonts w:ascii="Times New Roman" w:eastAsia="Times New Roman" w:hAnsi="Times New Roman" w:cs="Times New Roman"/>
          <w:i/>
          <w:sz w:val="24"/>
          <w:szCs w:val="24"/>
          <w:lang w:eastAsia="hu-HU"/>
        </w:rPr>
        <w:t>alapfeladata</w:t>
      </w:r>
      <w:r w:rsidRPr="00634083">
        <w:rPr>
          <w:rFonts w:ascii="Times New Roman" w:eastAsia="Times New Roman" w:hAnsi="Times New Roman" w:cs="Times New Roman"/>
          <w:sz w:val="24"/>
          <w:szCs w:val="24"/>
          <w:lang w:eastAsia="hu-HU"/>
        </w:rPr>
        <w:t xml:space="preserve">, hogy a számviteli törvény szabályai szerint ellenőrizze a gazdasági társaság eredménybeszámolójának mind a </w:t>
      </w:r>
      <w:r w:rsidRPr="00634083">
        <w:rPr>
          <w:rFonts w:ascii="Times New Roman" w:eastAsia="Times New Roman" w:hAnsi="Times New Roman" w:cs="Times New Roman"/>
          <w:i/>
          <w:sz w:val="24"/>
          <w:szCs w:val="24"/>
          <w:lang w:eastAsia="hu-HU"/>
        </w:rPr>
        <w:t>valódiságát,</w:t>
      </w:r>
      <w:r w:rsidRPr="00634083">
        <w:rPr>
          <w:rFonts w:ascii="Times New Roman" w:eastAsia="Times New Roman" w:hAnsi="Times New Roman" w:cs="Times New Roman"/>
          <w:sz w:val="24"/>
          <w:szCs w:val="24"/>
          <w:lang w:eastAsia="hu-HU"/>
        </w:rPr>
        <w:t xml:space="preserve"> mind a </w:t>
      </w:r>
      <w:r w:rsidRPr="00634083">
        <w:rPr>
          <w:rFonts w:ascii="Times New Roman" w:eastAsia="Times New Roman" w:hAnsi="Times New Roman" w:cs="Times New Roman"/>
          <w:i/>
          <w:sz w:val="24"/>
          <w:szCs w:val="24"/>
          <w:lang w:eastAsia="hu-HU"/>
        </w:rPr>
        <w:t>jogszabályszerűségét</w:t>
      </w:r>
      <w:r w:rsidRPr="00634083">
        <w:rPr>
          <w:rFonts w:ascii="Times New Roman" w:eastAsia="Times New Roman" w:hAnsi="Times New Roman" w:cs="Times New Roman"/>
          <w:sz w:val="24"/>
          <w:szCs w:val="24"/>
          <w:lang w:eastAsia="hu-HU"/>
        </w:rPr>
        <w:t xml:space="preserve">. A mérleg ún. auditálását a könyvvizsgáló a társaság menedzsmentje által összeállított mérlegtervezet, illetve az ún. </w:t>
      </w:r>
      <w:r w:rsidRPr="00634083">
        <w:rPr>
          <w:rFonts w:ascii="Times New Roman" w:eastAsia="Times New Roman" w:hAnsi="Times New Roman" w:cs="Times New Roman"/>
          <w:i/>
          <w:sz w:val="24"/>
          <w:szCs w:val="24"/>
          <w:lang w:eastAsia="hu-HU"/>
        </w:rPr>
        <w:t>teljességi nyilatkozat</w:t>
      </w:r>
      <w:r w:rsidRPr="00634083">
        <w:rPr>
          <w:rFonts w:ascii="Times New Roman" w:eastAsia="Times New Roman" w:hAnsi="Times New Roman" w:cs="Times New Roman"/>
          <w:sz w:val="24"/>
          <w:szCs w:val="24"/>
          <w:lang w:eastAsia="hu-HU"/>
        </w:rPr>
        <w:t xml:space="preserve"> alapján végzi. A könyvvizsgáló a gyakorlatban kialakult szabályok szerint</w:t>
      </w:r>
    </w:p>
    <w:p w14:paraId="47E63161" w14:textId="77777777" w:rsidR="005344BB" w:rsidRPr="00634083" w:rsidRDefault="005344BB" w:rsidP="00EC10C5">
      <w:pPr>
        <w:pStyle w:val="Stlus2"/>
        <w:rPr>
          <w:rFonts w:eastAsia="Times New Roman"/>
          <w:lang w:eastAsia="hu-HU"/>
        </w:rPr>
      </w:pPr>
      <w:r w:rsidRPr="00634083">
        <w:rPr>
          <w:rFonts w:eastAsia="Times New Roman"/>
          <w:lang w:eastAsia="hu-HU"/>
        </w:rPr>
        <w:t>vagy auditálja a mérleget, azaz valósnak és jogszabályszerűnek minősíti,</w:t>
      </w:r>
    </w:p>
    <w:p w14:paraId="65011F37" w14:textId="77777777" w:rsidR="005344BB" w:rsidRPr="00634083" w:rsidRDefault="005344BB" w:rsidP="00EC10C5">
      <w:pPr>
        <w:pStyle w:val="Stlus2"/>
        <w:rPr>
          <w:rFonts w:eastAsia="Times New Roman"/>
          <w:lang w:eastAsia="hu-HU"/>
        </w:rPr>
      </w:pPr>
      <w:r w:rsidRPr="00634083">
        <w:rPr>
          <w:rFonts w:eastAsia="Times New Roman"/>
          <w:lang w:eastAsia="hu-HU"/>
        </w:rPr>
        <w:t>vagy elutasítja az auditot,</w:t>
      </w:r>
    </w:p>
    <w:p w14:paraId="77177E08" w14:textId="77777777" w:rsidR="005344BB" w:rsidRPr="00634083" w:rsidRDefault="005344BB" w:rsidP="00EC10C5">
      <w:pPr>
        <w:pStyle w:val="Stlus2"/>
        <w:rPr>
          <w:rFonts w:eastAsia="Times New Roman"/>
          <w:lang w:eastAsia="hu-HU"/>
        </w:rPr>
      </w:pPr>
      <w:r w:rsidRPr="00634083">
        <w:rPr>
          <w:rFonts w:eastAsia="Times New Roman"/>
          <w:lang w:eastAsia="hu-HU"/>
        </w:rPr>
        <w:t>vagy ún. korlátozásokkal auditál, amely figyelmeztetés a társaság közgyűlésének, hogy nincs minden rendben a társaság működésében.</w:t>
      </w:r>
    </w:p>
    <w:p w14:paraId="5B4AFF2D" w14:textId="77777777" w:rsidR="005344BB" w:rsidRPr="00634083"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A könyvvizsgáló nyilatkozata alapján terjeszti a társaság ügyvezetése – a felügyelőbizottság véleményével – az eredménybeszámolót a taggyűlés elé. A könyvvizsgáló véleményének meghallgatása nélkül az eredménybeszámolóról a taggyűlés nem dönthet. A taggyűlést azonban a könyvvizsgáló véleménye nem köti, nem köteles azt elfogadni (ez azonban nagyon ritka eset).</w:t>
      </w:r>
    </w:p>
    <w:p w14:paraId="672C4E5E" w14:textId="77777777" w:rsidR="005344BB" w:rsidRDefault="005344BB" w:rsidP="00EC10C5">
      <w:pPr>
        <w:spacing w:after="60" w:line="240" w:lineRule="auto"/>
        <w:ind w:firstLine="709"/>
        <w:jc w:val="both"/>
        <w:rPr>
          <w:rFonts w:ascii="Times New Roman" w:eastAsia="Times New Roman" w:hAnsi="Times New Roman" w:cs="Times New Roman"/>
          <w:sz w:val="24"/>
          <w:szCs w:val="24"/>
          <w:lang w:eastAsia="hu-HU"/>
        </w:rPr>
      </w:pPr>
      <w:r w:rsidRPr="00634083">
        <w:rPr>
          <w:rFonts w:ascii="Times New Roman" w:eastAsia="Times New Roman" w:hAnsi="Times New Roman" w:cs="Times New Roman"/>
          <w:sz w:val="24"/>
          <w:szCs w:val="24"/>
          <w:lang w:eastAsia="hu-HU"/>
        </w:rPr>
        <w:t xml:space="preserve">A könyvvizsgáló </w:t>
      </w:r>
      <w:r w:rsidRPr="00634083">
        <w:rPr>
          <w:rFonts w:ascii="Times New Roman" w:eastAsia="Times New Roman" w:hAnsi="Times New Roman" w:cs="Times New Roman"/>
          <w:i/>
          <w:sz w:val="24"/>
          <w:szCs w:val="24"/>
          <w:lang w:eastAsia="hu-HU"/>
        </w:rPr>
        <w:t>közérdekvédelmi funkciója</w:t>
      </w:r>
      <w:r w:rsidRPr="00634083">
        <w:rPr>
          <w:rFonts w:ascii="Times New Roman" w:eastAsia="Times New Roman" w:hAnsi="Times New Roman" w:cs="Times New Roman"/>
          <w:sz w:val="24"/>
          <w:szCs w:val="24"/>
          <w:lang w:eastAsia="hu-HU"/>
        </w:rPr>
        <w:t xml:space="preserve"> elsősorban abból áll, hogy ha olyan tényt észlel, hogy a gazdasági társaság vagyoni helyzetében jelentős negatív hatás várható vagy a vezető tisztségviselők sértik a társaság érdekeit, kérnie kell a taggyűlés összehívását. Ha az ügyvezetés nem hívja össze a taggyűlést vagy a taggyűlés nem hoz a jogszabályoknak megfelelő döntést, a könyvvizsgáló köteles a társaság felett a törvényességi felügyeletet ellátó cégbíróságot értesíteni.</w:t>
      </w:r>
    </w:p>
    <w:p w14:paraId="29C75101"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p>
    <w:p w14:paraId="5E7B5992" w14:textId="77777777" w:rsidR="00405F24" w:rsidRPr="00E06E17" w:rsidRDefault="00BD21F9" w:rsidP="00EC10C5">
      <w:pPr>
        <w:pStyle w:val="Cmsor1"/>
        <w:ind w:firstLine="709"/>
        <w:jc w:val="both"/>
        <w:rPr>
          <w:rFonts w:ascii="Times New Roman" w:hAnsi="Times New Roman" w:cs="Times New Roman"/>
          <w:b/>
          <w:sz w:val="24"/>
          <w:szCs w:val="24"/>
        </w:rPr>
      </w:pPr>
      <w:r>
        <w:rPr>
          <w:rFonts w:ascii="Times New Roman" w:hAnsi="Times New Roman" w:cs="Times New Roman"/>
          <w:b/>
          <w:sz w:val="24"/>
          <w:szCs w:val="24"/>
        </w:rPr>
        <w:t>4. E</w:t>
      </w:r>
      <w:r w:rsidR="00405F24" w:rsidRPr="00E06E17">
        <w:rPr>
          <w:rFonts w:ascii="Times New Roman" w:hAnsi="Times New Roman" w:cs="Times New Roman"/>
          <w:b/>
          <w:sz w:val="24"/>
          <w:szCs w:val="24"/>
        </w:rPr>
        <w:t xml:space="preserve">gyes társasági formák </w:t>
      </w:r>
      <w:r>
        <w:rPr>
          <w:rFonts w:ascii="Times New Roman" w:hAnsi="Times New Roman" w:cs="Times New Roman"/>
          <w:b/>
          <w:sz w:val="24"/>
          <w:szCs w:val="24"/>
        </w:rPr>
        <w:t xml:space="preserve">speciális társasági jogi </w:t>
      </w:r>
      <w:r w:rsidR="00352FB0">
        <w:rPr>
          <w:rFonts w:ascii="Times New Roman" w:hAnsi="Times New Roman" w:cs="Times New Roman"/>
          <w:b/>
          <w:sz w:val="24"/>
          <w:szCs w:val="24"/>
        </w:rPr>
        <w:t>szabályai</w:t>
      </w:r>
    </w:p>
    <w:p w14:paraId="3D281772" w14:textId="77777777" w:rsidR="00405F24" w:rsidRPr="00AE6F0C" w:rsidRDefault="00E06E17" w:rsidP="00EC10C5">
      <w:pPr>
        <w:pStyle w:val="Stlus3"/>
        <w:jc w:val="both"/>
      </w:pPr>
      <w:r>
        <w:t>4.1.</w:t>
      </w:r>
      <w:r>
        <w:tab/>
        <w:t>S</w:t>
      </w:r>
      <w:r w:rsidR="00405F24" w:rsidRPr="00AE6F0C">
        <w:t>zemélyegyesítő kistársaságokra</w:t>
      </w:r>
      <w:r w:rsidR="00BD21F9">
        <w:t xml:space="preserve"> vonatkozó szabályok: a</w:t>
      </w:r>
      <w:r w:rsidR="00405F24" w:rsidRPr="00AE6F0C">
        <w:t xml:space="preserve"> </w:t>
      </w:r>
      <w:proofErr w:type="spellStart"/>
      <w:r w:rsidR="00405F24" w:rsidRPr="00AE6F0C">
        <w:t>kkt.</w:t>
      </w:r>
      <w:proofErr w:type="spellEnd"/>
      <w:r w:rsidR="00405F24" w:rsidRPr="00AE6F0C">
        <w:t xml:space="preserve"> és a bt.</w:t>
      </w:r>
    </w:p>
    <w:p w14:paraId="46184F59" w14:textId="77777777" w:rsidR="00405F24" w:rsidRPr="00AE6F0C" w:rsidRDefault="00405F24" w:rsidP="00EC10C5">
      <w:pPr>
        <w:spacing w:after="60" w:line="240" w:lineRule="auto"/>
        <w:ind w:left="1416" w:firstLine="709"/>
        <w:jc w:val="both"/>
        <w:rPr>
          <w:rFonts w:ascii="Times New Roman" w:hAnsi="Times New Roman" w:cs="Times New Roman"/>
          <w:i/>
          <w:sz w:val="24"/>
          <w:szCs w:val="24"/>
        </w:rPr>
      </w:pPr>
      <w:r w:rsidRPr="00AE6F0C">
        <w:rPr>
          <w:rFonts w:ascii="Times New Roman" w:hAnsi="Times New Roman" w:cs="Times New Roman"/>
          <w:i/>
          <w:sz w:val="24"/>
          <w:szCs w:val="24"/>
        </w:rPr>
        <w:t xml:space="preserve">kapcsolódó – kivonatos – jegyzetrészek: </w:t>
      </w:r>
      <w:r w:rsidR="00BD21F9">
        <w:rPr>
          <w:rFonts w:ascii="Times New Roman" w:hAnsi="Times New Roman" w:cs="Times New Roman"/>
          <w:i/>
          <w:sz w:val="24"/>
          <w:szCs w:val="24"/>
        </w:rPr>
        <w:t>F</w:t>
      </w:r>
      <w:r w:rsidRPr="00AE6F0C">
        <w:rPr>
          <w:rFonts w:ascii="Times New Roman" w:hAnsi="Times New Roman" w:cs="Times New Roman"/>
          <w:i/>
          <w:sz w:val="24"/>
          <w:szCs w:val="24"/>
        </w:rPr>
        <w:t xml:space="preserve"> bevezető szöveg és </w:t>
      </w:r>
      <w:r w:rsidR="00BD21F9">
        <w:rPr>
          <w:rFonts w:ascii="Times New Roman" w:hAnsi="Times New Roman" w:cs="Times New Roman"/>
          <w:i/>
          <w:sz w:val="24"/>
          <w:szCs w:val="24"/>
        </w:rPr>
        <w:t>F</w:t>
      </w:r>
      <w:r w:rsidRPr="00AE6F0C">
        <w:rPr>
          <w:rFonts w:ascii="Times New Roman" w:hAnsi="Times New Roman" w:cs="Times New Roman"/>
          <w:i/>
          <w:sz w:val="24"/>
          <w:szCs w:val="24"/>
        </w:rPr>
        <w:t xml:space="preserve">.1-ből a </w:t>
      </w:r>
      <w:r w:rsidR="00BD21F9">
        <w:rPr>
          <w:rFonts w:ascii="Times New Roman" w:hAnsi="Times New Roman" w:cs="Times New Roman"/>
          <w:i/>
          <w:sz w:val="24"/>
          <w:szCs w:val="24"/>
        </w:rPr>
        <w:t>F</w:t>
      </w:r>
      <w:r w:rsidRPr="00AE6F0C">
        <w:rPr>
          <w:rFonts w:ascii="Times New Roman" w:hAnsi="Times New Roman" w:cs="Times New Roman"/>
          <w:i/>
          <w:sz w:val="24"/>
          <w:szCs w:val="24"/>
        </w:rPr>
        <w:t>.1.1.-</w:t>
      </w:r>
      <w:r w:rsidR="00BD21F9">
        <w:rPr>
          <w:rFonts w:ascii="Times New Roman" w:hAnsi="Times New Roman" w:cs="Times New Roman"/>
          <w:i/>
          <w:sz w:val="24"/>
          <w:szCs w:val="24"/>
        </w:rPr>
        <w:t>F</w:t>
      </w:r>
      <w:r w:rsidRPr="00AE6F0C">
        <w:rPr>
          <w:rFonts w:ascii="Times New Roman" w:hAnsi="Times New Roman" w:cs="Times New Roman"/>
          <w:i/>
          <w:sz w:val="24"/>
          <w:szCs w:val="24"/>
        </w:rPr>
        <w:t>.1.2.</w:t>
      </w:r>
    </w:p>
    <w:p w14:paraId="2DA8E87E" w14:textId="77777777" w:rsidR="00405F24" w:rsidRPr="00AE6F0C" w:rsidRDefault="00E06E17" w:rsidP="00EC10C5">
      <w:pPr>
        <w:pStyle w:val="Stlus3"/>
        <w:jc w:val="both"/>
      </w:pPr>
      <w:r>
        <w:t>4.2.</w:t>
      </w:r>
      <w:r>
        <w:tab/>
        <w:t>K</w:t>
      </w:r>
      <w:r w:rsidR="00405F24" w:rsidRPr="00AE6F0C">
        <w:t xml:space="preserve">ft.-re vonatkozó szabályok </w:t>
      </w:r>
    </w:p>
    <w:p w14:paraId="43EBF779" w14:textId="77777777" w:rsidR="00405F24" w:rsidRPr="00AE6F0C" w:rsidRDefault="00405F24" w:rsidP="00EC10C5">
      <w:pPr>
        <w:spacing w:after="60" w:line="240" w:lineRule="auto"/>
        <w:ind w:left="1415" w:firstLine="709"/>
        <w:jc w:val="both"/>
        <w:rPr>
          <w:rFonts w:ascii="Times New Roman" w:hAnsi="Times New Roman" w:cs="Times New Roman"/>
          <w:i/>
          <w:sz w:val="24"/>
          <w:szCs w:val="24"/>
        </w:rPr>
      </w:pPr>
      <w:r w:rsidRPr="00AE6F0C">
        <w:rPr>
          <w:rFonts w:ascii="Times New Roman" w:hAnsi="Times New Roman" w:cs="Times New Roman"/>
          <w:i/>
          <w:sz w:val="24"/>
          <w:szCs w:val="24"/>
        </w:rPr>
        <w:t xml:space="preserve">kapcsolódó – kivonatos – jegyzetrészek: </w:t>
      </w:r>
      <w:r w:rsidR="00BD21F9">
        <w:rPr>
          <w:rFonts w:ascii="Times New Roman" w:hAnsi="Times New Roman" w:cs="Times New Roman"/>
          <w:i/>
          <w:sz w:val="24"/>
          <w:szCs w:val="24"/>
        </w:rPr>
        <w:t>F. bevezető szöveg és F</w:t>
      </w:r>
      <w:r w:rsidRPr="00AE6F0C">
        <w:rPr>
          <w:rFonts w:ascii="Times New Roman" w:hAnsi="Times New Roman" w:cs="Times New Roman"/>
          <w:i/>
          <w:sz w:val="24"/>
          <w:szCs w:val="24"/>
        </w:rPr>
        <w:t>.1.3.</w:t>
      </w:r>
    </w:p>
    <w:p w14:paraId="4E81C4A8" w14:textId="77777777" w:rsidR="00405F24" w:rsidRPr="00AE6F0C" w:rsidRDefault="00E06E17" w:rsidP="00EC10C5">
      <w:pPr>
        <w:pStyle w:val="Stlus3"/>
        <w:jc w:val="both"/>
      </w:pPr>
      <w:r>
        <w:t>4.3.</w:t>
      </w:r>
      <w:r>
        <w:tab/>
        <w:t>R</w:t>
      </w:r>
      <w:r w:rsidR="00405F24" w:rsidRPr="00AE6F0C">
        <w:t>észvénytársaságra vonatkozó szabályok</w:t>
      </w:r>
    </w:p>
    <w:p w14:paraId="636249DB" w14:textId="77777777" w:rsidR="00405F24" w:rsidRDefault="00405F24" w:rsidP="00EC10C5">
      <w:pPr>
        <w:spacing w:after="60" w:line="240" w:lineRule="auto"/>
        <w:ind w:left="1416" w:firstLine="709"/>
        <w:jc w:val="both"/>
        <w:rPr>
          <w:rFonts w:ascii="Times New Roman" w:hAnsi="Times New Roman" w:cs="Times New Roman"/>
          <w:i/>
          <w:sz w:val="24"/>
          <w:szCs w:val="24"/>
        </w:rPr>
      </w:pPr>
      <w:r w:rsidRPr="00AE6F0C">
        <w:rPr>
          <w:rFonts w:ascii="Times New Roman" w:hAnsi="Times New Roman" w:cs="Times New Roman"/>
          <w:i/>
          <w:sz w:val="24"/>
          <w:szCs w:val="24"/>
        </w:rPr>
        <w:t xml:space="preserve">kapcsolódó – kivonatos – jegyzetrészek: </w:t>
      </w:r>
      <w:r w:rsidR="00BD21F9">
        <w:rPr>
          <w:rFonts w:ascii="Times New Roman" w:hAnsi="Times New Roman" w:cs="Times New Roman"/>
          <w:i/>
          <w:sz w:val="24"/>
          <w:szCs w:val="24"/>
        </w:rPr>
        <w:t>F</w:t>
      </w:r>
      <w:r w:rsidRPr="00AE6F0C">
        <w:rPr>
          <w:rFonts w:ascii="Times New Roman" w:hAnsi="Times New Roman" w:cs="Times New Roman"/>
          <w:i/>
          <w:sz w:val="24"/>
          <w:szCs w:val="24"/>
        </w:rPr>
        <w:t>. bevezető szöveg</w:t>
      </w:r>
      <w:r w:rsidR="00CD769A">
        <w:rPr>
          <w:rFonts w:ascii="Times New Roman" w:hAnsi="Times New Roman" w:cs="Times New Roman"/>
          <w:i/>
          <w:sz w:val="24"/>
          <w:szCs w:val="24"/>
        </w:rPr>
        <w:t>, F.2.</w:t>
      </w:r>
      <w:r w:rsidRPr="00AE6F0C">
        <w:rPr>
          <w:rFonts w:ascii="Times New Roman" w:hAnsi="Times New Roman" w:cs="Times New Roman"/>
          <w:i/>
          <w:sz w:val="24"/>
          <w:szCs w:val="24"/>
        </w:rPr>
        <w:t xml:space="preserve"> és </w:t>
      </w:r>
      <w:proofErr w:type="gramStart"/>
      <w:r w:rsidR="00BD21F9">
        <w:rPr>
          <w:rFonts w:ascii="Times New Roman" w:hAnsi="Times New Roman" w:cs="Times New Roman"/>
          <w:i/>
          <w:sz w:val="24"/>
          <w:szCs w:val="24"/>
        </w:rPr>
        <w:t>F</w:t>
      </w:r>
      <w:r w:rsidR="00CD769A">
        <w:rPr>
          <w:rFonts w:ascii="Times New Roman" w:hAnsi="Times New Roman" w:cs="Times New Roman"/>
          <w:i/>
          <w:sz w:val="24"/>
          <w:szCs w:val="24"/>
        </w:rPr>
        <w:t>.2.1,-</w:t>
      </w:r>
      <w:proofErr w:type="gramEnd"/>
      <w:r w:rsidR="00BD21F9">
        <w:rPr>
          <w:rFonts w:ascii="Times New Roman" w:hAnsi="Times New Roman" w:cs="Times New Roman"/>
          <w:i/>
          <w:sz w:val="24"/>
          <w:szCs w:val="24"/>
        </w:rPr>
        <w:t>F</w:t>
      </w:r>
      <w:r w:rsidR="008D37AD">
        <w:rPr>
          <w:rFonts w:ascii="Times New Roman" w:hAnsi="Times New Roman" w:cs="Times New Roman"/>
          <w:i/>
          <w:sz w:val="24"/>
          <w:szCs w:val="24"/>
        </w:rPr>
        <w:t>.2.</w:t>
      </w:r>
      <w:r w:rsidR="00CD769A">
        <w:rPr>
          <w:rFonts w:ascii="Times New Roman" w:hAnsi="Times New Roman" w:cs="Times New Roman"/>
          <w:i/>
          <w:sz w:val="24"/>
          <w:szCs w:val="24"/>
        </w:rPr>
        <w:t>6.</w:t>
      </w:r>
    </w:p>
    <w:p w14:paraId="4CB834D1" w14:textId="77777777" w:rsidR="00E06E17" w:rsidRPr="00AE6F0C" w:rsidRDefault="00E06E17" w:rsidP="00EC10C5">
      <w:pPr>
        <w:spacing w:after="60" w:line="240" w:lineRule="auto"/>
        <w:ind w:left="1416" w:firstLine="709"/>
        <w:jc w:val="both"/>
        <w:rPr>
          <w:rFonts w:ascii="Times New Roman" w:hAnsi="Times New Roman" w:cs="Times New Roman"/>
          <w:i/>
          <w:sz w:val="24"/>
          <w:szCs w:val="24"/>
        </w:rPr>
      </w:pPr>
    </w:p>
    <w:p w14:paraId="51CF2318" w14:textId="77777777" w:rsidR="00405F24" w:rsidRPr="00AE6F0C" w:rsidRDefault="00352FB0" w:rsidP="00EC10C5">
      <w:pPr>
        <w:pStyle w:val="Stlus3"/>
      </w:pPr>
      <w:bookmarkStart w:id="357" w:name="_Toc2761139"/>
      <w:bookmarkStart w:id="358" w:name="_Toc13141284"/>
      <w:r>
        <w:t>F</w:t>
      </w:r>
      <w:r w:rsidR="00405F24" w:rsidRPr="00AE6F0C">
        <w:t>. Egyes társasági formák speciális vonásai</w:t>
      </w:r>
      <w:bookmarkEnd w:id="357"/>
      <w:bookmarkEnd w:id="358"/>
      <w:r w:rsidR="00405F24" w:rsidRPr="00AE6F0C">
        <w:t xml:space="preserve"> </w:t>
      </w:r>
    </w:p>
    <w:p w14:paraId="12824283"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gazdasági társaságok két nagy csoportra oszthatók: ún. </w:t>
      </w:r>
      <w:r w:rsidRPr="00AE6F0C">
        <w:rPr>
          <w:rFonts w:ascii="Times New Roman" w:eastAsia="Times New Roman" w:hAnsi="Times New Roman" w:cs="Times New Roman"/>
          <w:i/>
          <w:sz w:val="24"/>
          <w:szCs w:val="24"/>
          <w:lang w:eastAsia="hu-HU"/>
        </w:rPr>
        <w:t>személyegyesítő társaságokra és tőketársaságokra</w:t>
      </w:r>
      <w:r w:rsidRPr="00AE6F0C">
        <w:rPr>
          <w:rFonts w:ascii="Times New Roman" w:eastAsia="Times New Roman" w:hAnsi="Times New Roman" w:cs="Times New Roman"/>
          <w:sz w:val="24"/>
          <w:szCs w:val="24"/>
          <w:lang w:eastAsia="hu-HU"/>
        </w:rPr>
        <w:t xml:space="preserve">. Tőketársaságnak a magyar jogban egyértelműen a részvénytársaság minősül, amelyben általában a leglazább a tagsági viszony és a tagsági jogokról – egyedül a jelenlegi magyar jogban – értékpapírt, azaz részvényt lehet kiállítani. Jelenleg a magyar cégjegyzékbe több mint négyezer részvénytársaság van bejegyezve (ez a viszonylag magas </w:t>
      </w:r>
      <w:r w:rsidRPr="00AE6F0C">
        <w:rPr>
          <w:rFonts w:ascii="Times New Roman" w:eastAsia="Times New Roman" w:hAnsi="Times New Roman" w:cs="Times New Roman"/>
          <w:sz w:val="24"/>
          <w:szCs w:val="24"/>
          <w:lang w:eastAsia="hu-HU"/>
        </w:rPr>
        <w:lastRenderedPageBreak/>
        <w:t xml:space="preserve">szám a privatizáció eredménye, tudniillik az állami vállalatok 90%-át </w:t>
      </w:r>
      <w:proofErr w:type="gramStart"/>
      <w:r w:rsidRPr="00AE6F0C">
        <w:rPr>
          <w:rFonts w:ascii="Times New Roman" w:eastAsia="Times New Roman" w:hAnsi="Times New Roman" w:cs="Times New Roman"/>
          <w:sz w:val="24"/>
          <w:szCs w:val="24"/>
          <w:lang w:eastAsia="hu-HU"/>
        </w:rPr>
        <w:t>rt.-vé</w:t>
      </w:r>
      <w:proofErr w:type="gramEnd"/>
      <w:r w:rsidRPr="00AE6F0C">
        <w:rPr>
          <w:rFonts w:ascii="Times New Roman" w:eastAsia="Times New Roman" w:hAnsi="Times New Roman" w:cs="Times New Roman"/>
          <w:sz w:val="24"/>
          <w:szCs w:val="24"/>
          <w:lang w:eastAsia="hu-HU"/>
        </w:rPr>
        <w:t xml:space="preserve"> alakították át), amelyből mindössze 1–2%-a nyilvánosan működő részvénytársaság.</w:t>
      </w:r>
    </w:p>
    <w:p w14:paraId="2A3E598F"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p>
    <w:p w14:paraId="34FE7EBE" w14:textId="77777777" w:rsidR="00405F24" w:rsidRPr="00AE6F0C" w:rsidRDefault="00352FB0" w:rsidP="00EC10C5">
      <w:pPr>
        <w:pStyle w:val="Stlus3"/>
      </w:pPr>
      <w:bookmarkStart w:id="359" w:name="_Toc2761140"/>
      <w:bookmarkStart w:id="360" w:name="_Toc13141285"/>
      <w:r>
        <w:t>F</w:t>
      </w:r>
      <w:r w:rsidR="00405F24" w:rsidRPr="00AE6F0C">
        <w:t>.1. Személyegyesítő társaságok – közkereseti, betéti társaság és a vegyes jellegű korlátolt felelősségű társaság</w:t>
      </w:r>
      <w:bookmarkEnd w:id="359"/>
      <w:bookmarkEnd w:id="360"/>
      <w:r w:rsidR="00405F24" w:rsidRPr="00AE6F0C">
        <w:t xml:space="preserve"> </w:t>
      </w:r>
    </w:p>
    <w:p w14:paraId="225116EB"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Már az ókorban, illetve a középkorban kialakult a két legegyszerűbb személyegyesítő társaság: a </w:t>
      </w:r>
      <w:r w:rsidRPr="00AE6F0C">
        <w:rPr>
          <w:rFonts w:ascii="Times New Roman" w:eastAsia="Times New Roman" w:hAnsi="Times New Roman" w:cs="Times New Roman"/>
          <w:i/>
          <w:sz w:val="24"/>
          <w:szCs w:val="24"/>
          <w:lang w:eastAsia="hu-HU"/>
        </w:rPr>
        <w:t>közkereseti</w:t>
      </w:r>
      <w:r w:rsidRPr="00AE6F0C">
        <w:rPr>
          <w:rFonts w:ascii="Times New Roman" w:eastAsia="Times New Roman" w:hAnsi="Times New Roman" w:cs="Times New Roman"/>
          <w:sz w:val="24"/>
          <w:szCs w:val="24"/>
          <w:lang w:eastAsia="hu-HU"/>
        </w:rPr>
        <w:t xml:space="preserve"> és a </w:t>
      </w:r>
      <w:r w:rsidRPr="00AE6F0C">
        <w:rPr>
          <w:rFonts w:ascii="Times New Roman" w:eastAsia="Times New Roman" w:hAnsi="Times New Roman" w:cs="Times New Roman"/>
          <w:i/>
          <w:sz w:val="24"/>
          <w:szCs w:val="24"/>
          <w:lang w:eastAsia="hu-HU"/>
        </w:rPr>
        <w:t>betéti társaság</w:t>
      </w:r>
      <w:r w:rsidRPr="00AE6F0C">
        <w:rPr>
          <w:rFonts w:ascii="Times New Roman" w:eastAsia="Times New Roman" w:hAnsi="Times New Roman" w:cs="Times New Roman"/>
          <w:sz w:val="24"/>
          <w:szCs w:val="24"/>
          <w:lang w:eastAsia="hu-HU"/>
        </w:rPr>
        <w:t xml:space="preserve"> (a magyar jogban 1841-ben jelentek meg). A közkereseti társaságnál még nem válik el a tag üzleti vagyona a tagok magánvagyonától, ezért ez a társaság tipikusan a </w:t>
      </w:r>
      <w:proofErr w:type="spellStart"/>
      <w:r w:rsidRPr="00AE6F0C">
        <w:rPr>
          <w:rFonts w:ascii="Times New Roman" w:eastAsia="Times New Roman" w:hAnsi="Times New Roman" w:cs="Times New Roman"/>
          <w:sz w:val="24"/>
          <w:szCs w:val="24"/>
          <w:lang w:eastAsia="hu-HU"/>
        </w:rPr>
        <w:t>mikrovállalkozások</w:t>
      </w:r>
      <w:proofErr w:type="spellEnd"/>
      <w:r w:rsidRPr="00AE6F0C">
        <w:rPr>
          <w:rFonts w:ascii="Times New Roman" w:eastAsia="Times New Roman" w:hAnsi="Times New Roman" w:cs="Times New Roman"/>
          <w:sz w:val="24"/>
          <w:szCs w:val="24"/>
          <w:lang w:eastAsia="hu-HU"/>
        </w:rPr>
        <w:t xml:space="preserve"> jogi formája (mintegy 10 000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van jelenleg bejegyezve a cégjegyzékbe). A betéti társaság viszont már igen divatos kisvállalkozási forma, számuk Magyarországon tartósan meghaladja a százezret.</w:t>
      </w:r>
    </w:p>
    <w:p w14:paraId="1BE8EB52" w14:textId="77777777" w:rsidR="00CD769A" w:rsidRPr="00AE6F0C" w:rsidRDefault="00CD769A" w:rsidP="00EC10C5">
      <w:pPr>
        <w:spacing w:after="60" w:line="240" w:lineRule="auto"/>
        <w:ind w:firstLine="709"/>
        <w:jc w:val="both"/>
        <w:rPr>
          <w:rFonts w:ascii="Times New Roman" w:eastAsia="Times New Roman" w:hAnsi="Times New Roman" w:cs="Times New Roman"/>
          <w:sz w:val="24"/>
          <w:szCs w:val="24"/>
          <w:lang w:eastAsia="hu-HU"/>
        </w:rPr>
      </w:pPr>
    </w:p>
    <w:p w14:paraId="51987A3C" w14:textId="77777777" w:rsidR="00405F24" w:rsidRPr="00AE6F0C" w:rsidRDefault="00352FB0" w:rsidP="00EC10C5">
      <w:pPr>
        <w:pStyle w:val="Stlus3"/>
      </w:pPr>
      <w:bookmarkStart w:id="361" w:name="_Toc2761141"/>
      <w:bookmarkStart w:id="362" w:name="_Toc13141286"/>
      <w:r>
        <w:t>F</w:t>
      </w:r>
      <w:r w:rsidR="00405F24" w:rsidRPr="00AE6F0C">
        <w:t>.1.1. A közkereseti társaság (</w:t>
      </w:r>
      <w:proofErr w:type="spellStart"/>
      <w:r w:rsidR="00405F24" w:rsidRPr="00AE6F0C">
        <w:t>kkt.</w:t>
      </w:r>
      <w:proofErr w:type="spellEnd"/>
      <w:r w:rsidR="00405F24" w:rsidRPr="00AE6F0C">
        <w:t>)</w:t>
      </w:r>
      <w:bookmarkEnd w:id="361"/>
      <w:bookmarkEnd w:id="362"/>
    </w:p>
    <w:p w14:paraId="61963AA5"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w:t>
      </w:r>
      <w:r w:rsidR="00352FB0">
        <w:rPr>
          <w:rFonts w:ascii="Times New Roman" w:eastAsia="Times New Roman" w:hAnsi="Times New Roman" w:cs="Times New Roman"/>
          <w:sz w:val="24"/>
          <w:szCs w:val="24"/>
          <w:lang w:eastAsia="hu-HU"/>
        </w:rPr>
        <w:t xml:space="preserve"> </w:t>
      </w:r>
      <w:r w:rsidRPr="00AE6F0C">
        <w:rPr>
          <w:rFonts w:ascii="Times New Roman" w:eastAsia="Times New Roman" w:hAnsi="Times New Roman" w:cs="Times New Roman"/>
          <w:sz w:val="24"/>
          <w:szCs w:val="24"/>
          <w:lang w:eastAsia="hu-HU"/>
        </w:rPr>
        <w:t>közkereseti társaságot a Ptk. 3:138–3:152. §-ban szabályozza.</w:t>
      </w:r>
    </w:p>
    <w:p w14:paraId="5B54A687"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közkereseti társaság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lényege, hogy a tagok (legalább két tag) a tárasági szerződés alapján úgy folytat közös gazdasági tevékenységet, hogy a társaság tartozásaiért korlátlan és egyetemleges felelősséget vállalnak.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w:t>
      </w:r>
      <w:proofErr w:type="spellStart"/>
      <w:r w:rsidRPr="00AE6F0C">
        <w:rPr>
          <w:rFonts w:ascii="Times New Roman" w:eastAsia="Times New Roman" w:hAnsi="Times New Roman" w:cs="Times New Roman"/>
          <w:sz w:val="24"/>
          <w:szCs w:val="24"/>
          <w:lang w:eastAsia="hu-HU"/>
        </w:rPr>
        <w:t>nál</w:t>
      </w:r>
      <w:proofErr w:type="spellEnd"/>
      <w:r w:rsidRPr="00AE6F0C">
        <w:rPr>
          <w:rFonts w:ascii="Times New Roman" w:eastAsia="Times New Roman" w:hAnsi="Times New Roman" w:cs="Times New Roman"/>
          <w:sz w:val="24"/>
          <w:szCs w:val="24"/>
          <w:lang w:eastAsia="hu-HU"/>
        </w:rPr>
        <w:t xml:space="preserve"> tehát a társaság üzleti vagyona és a tagok magánvagyona nem különül el egymástól,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kielégítetlen tartozásait be lehet hajtani a tagoktól, azok a társasággal együtt is (mögöttesen) perelhetők.</w:t>
      </w:r>
    </w:p>
    <w:p w14:paraId="59857A09"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w:t>
      </w:r>
      <w:proofErr w:type="spellStart"/>
      <w:r w:rsidRPr="00AE6F0C">
        <w:rPr>
          <w:rFonts w:ascii="Times New Roman" w:eastAsia="Times New Roman" w:hAnsi="Times New Roman" w:cs="Times New Roman"/>
          <w:sz w:val="24"/>
          <w:szCs w:val="24"/>
          <w:lang w:eastAsia="hu-HU"/>
        </w:rPr>
        <w:t>nál</w:t>
      </w:r>
      <w:proofErr w:type="spellEnd"/>
      <w:r w:rsidRPr="00AE6F0C">
        <w:rPr>
          <w:rFonts w:ascii="Times New Roman" w:eastAsia="Times New Roman" w:hAnsi="Times New Roman" w:cs="Times New Roman"/>
          <w:sz w:val="24"/>
          <w:szCs w:val="24"/>
          <w:lang w:eastAsia="hu-HU"/>
        </w:rPr>
        <w:t xml:space="preserve"> el kell különíteni a társaság belső és külső viszonyait. A tagok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w:t>
      </w:r>
      <w:proofErr w:type="spellStart"/>
      <w:r w:rsidRPr="00AE6F0C">
        <w:rPr>
          <w:rFonts w:ascii="Times New Roman" w:eastAsia="Times New Roman" w:hAnsi="Times New Roman" w:cs="Times New Roman"/>
          <w:sz w:val="24"/>
          <w:szCs w:val="24"/>
          <w:lang w:eastAsia="hu-HU"/>
        </w:rPr>
        <w:t>nál</w:t>
      </w:r>
      <w:proofErr w:type="spellEnd"/>
      <w:r w:rsidRPr="00AE6F0C">
        <w:rPr>
          <w:rFonts w:ascii="Times New Roman" w:eastAsia="Times New Roman" w:hAnsi="Times New Roman" w:cs="Times New Roman"/>
          <w:sz w:val="24"/>
          <w:szCs w:val="24"/>
          <w:lang w:eastAsia="hu-HU"/>
        </w:rPr>
        <w:t xml:space="preserve"> is kötelesek vagyoni hozzájárulás szolgáltatására, de ezt később növelni, kiegészíteni nem kötelesek. A vagyoni hozzájárulások, illetve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vagyona nagyon csekély is lehet.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w:t>
      </w:r>
      <w:proofErr w:type="spellStart"/>
      <w:r w:rsidRPr="00AE6F0C">
        <w:rPr>
          <w:rFonts w:ascii="Times New Roman" w:eastAsia="Times New Roman" w:hAnsi="Times New Roman" w:cs="Times New Roman"/>
          <w:sz w:val="24"/>
          <w:szCs w:val="24"/>
          <w:lang w:eastAsia="hu-HU"/>
        </w:rPr>
        <w:t>nál</w:t>
      </w:r>
      <w:proofErr w:type="spellEnd"/>
      <w:r w:rsidRPr="00AE6F0C">
        <w:rPr>
          <w:rFonts w:ascii="Times New Roman" w:eastAsia="Times New Roman" w:hAnsi="Times New Roman" w:cs="Times New Roman"/>
          <w:sz w:val="24"/>
          <w:szCs w:val="24"/>
          <w:lang w:eastAsia="hu-HU"/>
        </w:rPr>
        <w:t xml:space="preserve"> általában a tagok személyesen is közreműködnek a társaság tevékenységében, ezért díjazásban is részesülhetnek. Ha a társasági szerződés másként nem rendelkezik, a nyereség és a veszteség a tagok között a vagyoni hozzájárulás arányában oszlik meg.</w:t>
      </w:r>
    </w:p>
    <w:p w14:paraId="70A781CF"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legfőbb szerve a </w:t>
      </w:r>
      <w:r w:rsidRPr="00AE6F0C">
        <w:rPr>
          <w:rFonts w:ascii="Times New Roman" w:eastAsia="Times New Roman" w:hAnsi="Times New Roman" w:cs="Times New Roman"/>
          <w:i/>
          <w:sz w:val="24"/>
          <w:szCs w:val="24"/>
          <w:lang w:eastAsia="hu-HU"/>
        </w:rPr>
        <w:t>tagok gyűlése</w:t>
      </w:r>
      <w:r w:rsidRPr="00AE6F0C">
        <w:rPr>
          <w:rFonts w:ascii="Times New Roman" w:eastAsia="Times New Roman" w:hAnsi="Times New Roman" w:cs="Times New Roman"/>
          <w:sz w:val="24"/>
          <w:szCs w:val="24"/>
          <w:lang w:eastAsia="hu-HU"/>
        </w:rPr>
        <w:t xml:space="preserve">. (A taggyűlés helyett a tagok gyűlése kifejezés a gyűlés lazább jellegét kívánja kifejezni, mint ahogy az rt.-nél a közgyűlés szó a nagyobb szervezettséget.) A tagok gyűlésének hatáskörét, működési szabályait a társulók a társasági szerződésben határozzák meg. A határozathozatal során főszabályként minden tagnak azonos értékű szavazata van. Ettől azonban a társasági szerződésben el lehet térni, de egy szavazat minden tagot megillet.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w:t>
      </w:r>
      <w:proofErr w:type="spellStart"/>
      <w:r w:rsidRPr="00AE6F0C">
        <w:rPr>
          <w:rFonts w:ascii="Times New Roman" w:eastAsia="Times New Roman" w:hAnsi="Times New Roman" w:cs="Times New Roman"/>
          <w:sz w:val="24"/>
          <w:szCs w:val="24"/>
          <w:lang w:eastAsia="hu-HU"/>
        </w:rPr>
        <w:t>nál</w:t>
      </w:r>
      <w:proofErr w:type="spellEnd"/>
      <w:r w:rsidRPr="00AE6F0C">
        <w:rPr>
          <w:rFonts w:ascii="Times New Roman" w:eastAsia="Times New Roman" w:hAnsi="Times New Roman" w:cs="Times New Roman"/>
          <w:sz w:val="24"/>
          <w:szCs w:val="24"/>
          <w:lang w:eastAsia="hu-HU"/>
        </w:rPr>
        <w:t xml:space="preserve"> nemcsak szótöbbséges, hanem elég széles körben eltérést nem engedő egyhangú határozathozatalt is előír a Ptk. (pl. egyhangú határozat kell a társasági szerződés módosításához, az átalakuláshoz, a jogutód nélküli megszűnéshez). A társaság ügyvezetésére pedig – ha ezt a társasági szerződés nem korlátozza – mindegyik tag önállóan, időhatár nélkül jogosult. Az üzletvezetésre jogosult tag jogosult a cégjegyzésre is. (Korábban a Gt.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ügyvezetését üzletvezetésnek nevezte, ezt a terminológiát a Ptk. nem vette át.)</w:t>
      </w:r>
    </w:p>
    <w:p w14:paraId="652BDA88"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Ptk. szerint semmis a társasági szerződés olyan rendelkezése, amely a tagot szavazati jogtól teljesen megfosztja, többletszavazati jogot azonban biztosítani lehet. A tagok gyűlése az összes szavazat számához viszonyított szótöbbséggel hozza meg határozatait – e szabálytól is tilos „lefelé” eltérni. Érdekes módon a Ptk. nem ír elő semmisséget a 3:143. §-</w:t>
      </w:r>
      <w:proofErr w:type="spellStart"/>
      <w:r w:rsidRPr="00AE6F0C">
        <w:rPr>
          <w:rFonts w:ascii="Times New Roman" w:eastAsia="Times New Roman" w:hAnsi="Times New Roman" w:cs="Times New Roman"/>
          <w:sz w:val="24"/>
          <w:szCs w:val="24"/>
          <w:lang w:eastAsia="hu-HU"/>
        </w:rPr>
        <w:t>nak</w:t>
      </w:r>
      <w:proofErr w:type="spellEnd"/>
      <w:r w:rsidRPr="00AE6F0C">
        <w:rPr>
          <w:rFonts w:ascii="Times New Roman" w:eastAsia="Times New Roman" w:hAnsi="Times New Roman" w:cs="Times New Roman"/>
          <w:sz w:val="24"/>
          <w:szCs w:val="24"/>
          <w:lang w:eastAsia="hu-HU"/>
        </w:rPr>
        <w:t xml:space="preserve"> a minősített többséggel meghozott határozatokra vonatkozó rendelkezéseitől való eltérésnél. Kifejezett törvényi tilalom az ügyvezetésre vonatkozó szabályoknál sincs, tehát kérdéses lehet, hogy nem tag is választható esetleg ügyvezetőnek.</w:t>
      </w:r>
    </w:p>
    <w:p w14:paraId="5E6B88D1"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kötelezettségeiért elsősorban a társaság felel teljes vagyonával. Ha a vagyon nem elég a hitelezők kielégítésére, belép a tagok korlátlan és egyetemleges felelőssége, ezért a tagok a társasággal együtt perelhetők.</w:t>
      </w:r>
    </w:p>
    <w:p w14:paraId="5E6CABF7"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i/>
          <w:sz w:val="24"/>
          <w:szCs w:val="24"/>
          <w:lang w:eastAsia="hu-HU"/>
        </w:rPr>
        <w:t xml:space="preserve">A </w:t>
      </w:r>
      <w:proofErr w:type="spellStart"/>
      <w:r w:rsidRPr="00AE6F0C">
        <w:rPr>
          <w:rFonts w:ascii="Times New Roman" w:eastAsia="Times New Roman" w:hAnsi="Times New Roman" w:cs="Times New Roman"/>
          <w:i/>
          <w:sz w:val="24"/>
          <w:szCs w:val="24"/>
          <w:lang w:eastAsia="hu-HU"/>
        </w:rPr>
        <w:t>kkt</w:t>
      </w:r>
      <w:proofErr w:type="spellEnd"/>
      <w:r w:rsidRPr="00AE6F0C">
        <w:rPr>
          <w:rFonts w:ascii="Times New Roman" w:eastAsia="Times New Roman" w:hAnsi="Times New Roman" w:cs="Times New Roman"/>
          <w:i/>
          <w:sz w:val="24"/>
          <w:szCs w:val="24"/>
          <w:lang w:eastAsia="hu-HU"/>
        </w:rPr>
        <w:t xml:space="preserve"> klasszikus személyegyesülés, </w:t>
      </w:r>
      <w:r w:rsidRPr="00AE6F0C">
        <w:rPr>
          <w:rFonts w:ascii="Times New Roman" w:eastAsia="Times New Roman" w:hAnsi="Times New Roman" w:cs="Times New Roman"/>
          <w:sz w:val="24"/>
          <w:szCs w:val="24"/>
          <w:lang w:eastAsia="hu-HU"/>
        </w:rPr>
        <w:t xml:space="preserve">erősen kötődik tagjaihoz – ezért a tag halála vagy jogutód nélküli megszűnése esetén a társaság is főszabályként megszűnik. Ugyanakkor a Ptk. </w:t>
      </w:r>
      <w:r w:rsidRPr="00AE6F0C">
        <w:rPr>
          <w:rFonts w:ascii="Times New Roman" w:eastAsia="Times New Roman" w:hAnsi="Times New Roman" w:cs="Times New Roman"/>
          <w:sz w:val="24"/>
          <w:szCs w:val="24"/>
          <w:lang w:eastAsia="hu-HU"/>
        </w:rPr>
        <w:lastRenderedPageBreak/>
        <w:t xml:space="preserve">149. § szerint a többi taggal való megállapodás alapján az örökös (jogutód) a társaságba beléphet. A tag emellett a határozatlan időre létrehozott társaságban tagsági jogviszonyát három hónapos felmondási idővel bármikor felmondhatja, súlyos szerződésszegés esetén azonnali hatályú felmondásnak is helye van. 2006 óta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-ban lévő társasági részesedés átruházásának nincs akadálya, ez egyébként sok külföldi jogban nem lehetséges. A társaságtól megváló taggal való elszámolás rendjét a Ptk. részletesen szabályozza.</w:t>
      </w:r>
    </w:p>
    <w:p w14:paraId="0A0E0E1B"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közkereseti társaság jogutód nélkül megszűnik, ha tagjainak száma egyre csökkent és ettől számított hat hónapos jogvesztő határidőn belül új tag nem lép be a társaságba.</w:t>
      </w:r>
    </w:p>
    <w:p w14:paraId="583FE073" w14:textId="77777777" w:rsidR="00352FB0" w:rsidRPr="00AE6F0C" w:rsidRDefault="00352FB0" w:rsidP="00EC10C5">
      <w:pPr>
        <w:spacing w:after="60" w:line="240" w:lineRule="auto"/>
        <w:ind w:firstLine="709"/>
        <w:jc w:val="both"/>
        <w:rPr>
          <w:rFonts w:ascii="Times New Roman" w:eastAsia="Times New Roman" w:hAnsi="Times New Roman" w:cs="Times New Roman"/>
          <w:sz w:val="24"/>
          <w:szCs w:val="24"/>
          <w:lang w:eastAsia="hu-HU"/>
        </w:rPr>
      </w:pPr>
    </w:p>
    <w:p w14:paraId="25926FEC" w14:textId="77777777" w:rsidR="00405F24" w:rsidRPr="00AE6F0C" w:rsidRDefault="00352FB0" w:rsidP="00EC10C5">
      <w:pPr>
        <w:pStyle w:val="Stlus3"/>
      </w:pPr>
      <w:bookmarkStart w:id="363" w:name="_Toc2761142"/>
      <w:bookmarkStart w:id="364" w:name="_Toc13141287"/>
      <w:r>
        <w:t>F</w:t>
      </w:r>
      <w:r w:rsidR="00405F24" w:rsidRPr="00AE6F0C">
        <w:t>.1.2. A betéti társaság (bt.)</w:t>
      </w:r>
      <w:bookmarkEnd w:id="363"/>
      <w:bookmarkEnd w:id="364"/>
    </w:p>
    <w:p w14:paraId="7DDC89E5"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betéti társaság alapjellemzője, hogy a tagok felelőssége </w:t>
      </w:r>
      <w:r w:rsidRPr="00AE6F0C">
        <w:rPr>
          <w:rFonts w:ascii="Times New Roman" w:eastAsia="Times New Roman" w:hAnsi="Times New Roman" w:cs="Times New Roman"/>
          <w:i/>
          <w:sz w:val="24"/>
          <w:szCs w:val="24"/>
          <w:lang w:eastAsia="hu-HU"/>
        </w:rPr>
        <w:t>megosztott:</w:t>
      </w:r>
      <w:r w:rsidRPr="00AE6F0C">
        <w:rPr>
          <w:rFonts w:ascii="Times New Roman" w:eastAsia="Times New Roman" w:hAnsi="Times New Roman" w:cs="Times New Roman"/>
          <w:sz w:val="24"/>
          <w:szCs w:val="24"/>
          <w:lang w:eastAsia="hu-HU"/>
        </w:rPr>
        <w:t xml:space="preserve"> a beltag (beltagok) felelőssége korlátlan, a kültag (kültagok) csak vagyoni betétjüket kötelesek a társaság részére szolgáltatniuk, a társaság hitelezőivel szemben viszont nem felelnek. (Itt tulajdonképp nem korlátolt felelősségről van szó.) A Ptk. nem tiltja, hogy egy betéti társaság beltagja kft. vagy rt. legyen, ebben az esetben viszont a beltag korlátlan felelőssége viszonylagossá válik.</w:t>
      </w:r>
    </w:p>
    <w:p w14:paraId="10A31C3E"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betéti társaságra a </w:t>
      </w:r>
      <w:r w:rsidRPr="00AE6F0C">
        <w:rPr>
          <w:rFonts w:ascii="Times New Roman" w:eastAsia="Times New Roman" w:hAnsi="Times New Roman" w:cs="Times New Roman"/>
          <w:i/>
          <w:sz w:val="24"/>
          <w:szCs w:val="24"/>
          <w:lang w:eastAsia="hu-HU"/>
        </w:rPr>
        <w:t>közkereseti társaság</w:t>
      </w:r>
      <w:r w:rsidRPr="00AE6F0C">
        <w:rPr>
          <w:rFonts w:ascii="Times New Roman" w:eastAsia="Times New Roman" w:hAnsi="Times New Roman" w:cs="Times New Roman"/>
          <w:sz w:val="24"/>
          <w:szCs w:val="24"/>
          <w:lang w:eastAsia="hu-HU"/>
        </w:rPr>
        <w:t xml:space="preserve"> szabályait kell </w:t>
      </w:r>
      <w:r w:rsidRPr="00AE6F0C">
        <w:rPr>
          <w:rFonts w:ascii="Times New Roman" w:eastAsia="Times New Roman" w:hAnsi="Times New Roman" w:cs="Times New Roman"/>
          <w:i/>
          <w:sz w:val="24"/>
          <w:szCs w:val="24"/>
          <w:lang w:eastAsia="hu-HU"/>
        </w:rPr>
        <w:t>mögöttes jogterületként</w:t>
      </w:r>
      <w:r w:rsidRPr="00AE6F0C">
        <w:rPr>
          <w:rFonts w:ascii="Times New Roman" w:eastAsia="Times New Roman" w:hAnsi="Times New Roman" w:cs="Times New Roman"/>
          <w:sz w:val="24"/>
          <w:szCs w:val="24"/>
          <w:lang w:eastAsia="hu-HU"/>
        </w:rPr>
        <w:t xml:space="preserve"> alkalmazni, ha a betéti társaságra vonatkozó szabályok másként nem rendelkeznek. Alapvető különbség a </w:t>
      </w:r>
      <w:proofErr w:type="spellStart"/>
      <w:r w:rsidRPr="00AE6F0C">
        <w:rPr>
          <w:rFonts w:ascii="Times New Roman" w:eastAsia="Times New Roman" w:hAnsi="Times New Roman" w:cs="Times New Roman"/>
          <w:sz w:val="24"/>
          <w:szCs w:val="24"/>
          <w:lang w:eastAsia="hu-HU"/>
        </w:rPr>
        <w:t>kkt.</w:t>
      </w:r>
      <w:proofErr w:type="spellEnd"/>
      <w:r w:rsidRPr="00AE6F0C">
        <w:rPr>
          <w:rFonts w:ascii="Times New Roman" w:eastAsia="Times New Roman" w:hAnsi="Times New Roman" w:cs="Times New Roman"/>
          <w:sz w:val="24"/>
          <w:szCs w:val="24"/>
          <w:lang w:eastAsia="hu-HU"/>
        </w:rPr>
        <w:t xml:space="preserve"> és a bt. között a kültag korlátozott felelősségéből adódik: a kültag főszabályként nem lehet ügyvezető, nem képviselheti a társaságot és nem jogosult cégjegyzésre sem. (Törvényi tilalom hiányában kérdéses lehet, hogy e szabálytól a társasági szerződés eltérhet-e.) Ez alól kivétel, ha a kültag a társaságban egyedül marad, mert akkor az új tag belépésére nyitva álló hat hónapos határidő alatt a kültag is lehet ügyvezető.</w:t>
      </w:r>
    </w:p>
    <w:p w14:paraId="5C7F2859"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betéti társaság </w:t>
      </w:r>
      <w:proofErr w:type="spellStart"/>
      <w:r w:rsidRPr="00AE6F0C">
        <w:rPr>
          <w:rFonts w:ascii="Times New Roman" w:eastAsia="Times New Roman" w:hAnsi="Times New Roman" w:cs="Times New Roman"/>
          <w:sz w:val="24"/>
          <w:szCs w:val="24"/>
          <w:lang w:eastAsia="hu-HU"/>
        </w:rPr>
        <w:t>társaság</w:t>
      </w:r>
      <w:proofErr w:type="spellEnd"/>
      <w:r w:rsidRPr="00AE6F0C">
        <w:rPr>
          <w:rFonts w:ascii="Times New Roman" w:eastAsia="Times New Roman" w:hAnsi="Times New Roman" w:cs="Times New Roman"/>
          <w:sz w:val="24"/>
          <w:szCs w:val="24"/>
          <w:lang w:eastAsia="hu-HU"/>
        </w:rPr>
        <w:t>. A kültag tehát nem hitelező, viseli a veszteséget, részesül a nyerségből, a taggyűlésen (tagok gyűlésén) akár le is szavazhatja a beltagot. A magyar jogban jelenleg a kültag vagyoni betétjéről nem lehet értékpapírt kiállítani (nem ismerünk betéti részvénytársaságot) és a kültag adatai is nyilvánosak (nincs tehát csendes társaság</w:t>
      </w:r>
      <w:proofErr w:type="gramStart"/>
      <w:r w:rsidRPr="00AE6F0C">
        <w:rPr>
          <w:rFonts w:ascii="Times New Roman" w:eastAsia="Times New Roman" w:hAnsi="Times New Roman" w:cs="Times New Roman"/>
          <w:sz w:val="24"/>
          <w:szCs w:val="24"/>
          <w:lang w:eastAsia="hu-HU"/>
        </w:rPr>
        <w:t>)..</w:t>
      </w:r>
      <w:proofErr w:type="gramEnd"/>
      <w:r w:rsidRPr="00AE6F0C">
        <w:rPr>
          <w:rFonts w:ascii="Times New Roman" w:eastAsia="Times New Roman" w:hAnsi="Times New Roman" w:cs="Times New Roman"/>
          <w:sz w:val="24"/>
          <w:szCs w:val="24"/>
          <w:lang w:eastAsia="hu-HU"/>
        </w:rPr>
        <w:t xml:space="preserve"> A betéti társaságot a Ptk. 3:154–3:156. §-a szabályozza.</w:t>
      </w:r>
    </w:p>
    <w:p w14:paraId="153BD685" w14:textId="77777777" w:rsidR="00352FB0" w:rsidRPr="00AE6F0C" w:rsidRDefault="00352FB0" w:rsidP="00EC10C5">
      <w:pPr>
        <w:spacing w:after="60" w:line="240" w:lineRule="auto"/>
        <w:ind w:firstLine="709"/>
        <w:jc w:val="both"/>
        <w:rPr>
          <w:rFonts w:ascii="Times New Roman" w:eastAsia="Times New Roman" w:hAnsi="Times New Roman" w:cs="Times New Roman"/>
          <w:sz w:val="24"/>
          <w:szCs w:val="24"/>
          <w:lang w:eastAsia="hu-HU"/>
        </w:rPr>
      </w:pPr>
    </w:p>
    <w:p w14:paraId="33A16D48" w14:textId="77777777" w:rsidR="00405F24" w:rsidRPr="00AE6F0C" w:rsidRDefault="00352FB0" w:rsidP="00EC10C5">
      <w:pPr>
        <w:pStyle w:val="Stlus3"/>
      </w:pPr>
      <w:bookmarkStart w:id="365" w:name="_Toc2761143"/>
      <w:bookmarkStart w:id="366" w:name="_Toc13141288"/>
      <w:r>
        <w:t>F</w:t>
      </w:r>
      <w:r w:rsidR="00405F24" w:rsidRPr="00AE6F0C">
        <w:t>.1.3. A korlátolt felelősségű társaság (kft.)</w:t>
      </w:r>
      <w:bookmarkEnd w:id="365"/>
      <w:bookmarkEnd w:id="366"/>
    </w:p>
    <w:p w14:paraId="52EA2923"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Ptk. 3:159–3:209. §-ban szabályozott korlátolt felelősségű társaság olyan társaság:</w:t>
      </w:r>
    </w:p>
    <w:p w14:paraId="7C391694"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amely előre meghatározott összegű betétekből álló törzstőkével alakul. Eddig a törzsbetét 100 000 Ft, a legkisebb törzstőke 500 000 Ft volt, a legkisebb törzstőkét most a Ptk. 3 millió forintra emelte. A törzsbetét a társaság cégbejegyzése után a törzsbetétet szolgáló tag </w:t>
      </w:r>
      <w:r w:rsidRPr="00AE6F0C">
        <w:rPr>
          <w:rFonts w:eastAsia="Times New Roman"/>
          <w:i/>
          <w:lang w:eastAsia="hu-HU"/>
        </w:rPr>
        <w:t>üzletrészévé</w:t>
      </w:r>
      <w:r w:rsidRPr="00AE6F0C">
        <w:rPr>
          <w:rFonts w:eastAsia="Times New Roman"/>
          <w:lang w:eastAsia="hu-HU"/>
        </w:rPr>
        <w:t xml:space="preserve"> alakul (Ptk. 3:164. §). </w:t>
      </w:r>
      <w:r w:rsidRPr="00AE6F0C">
        <w:rPr>
          <w:rFonts w:eastAsia="Times New Roman"/>
          <w:i/>
          <w:lang w:eastAsia="hu-HU"/>
        </w:rPr>
        <w:t>Az üzletrész forgalomképes vagyoni értékű jog,</w:t>
      </w:r>
      <w:r w:rsidRPr="00AE6F0C">
        <w:rPr>
          <w:rFonts w:eastAsia="Times New Roman"/>
          <w:lang w:eastAsia="hu-HU"/>
        </w:rPr>
        <w:t xml:space="preserve"> az üzletrészről értékpapírt kiállítani nem lehet;</w:t>
      </w:r>
    </w:p>
    <w:p w14:paraId="35241710"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 tagok kötelezettsége a társasággal szemben a </w:t>
      </w:r>
      <w:r w:rsidRPr="00AE6F0C">
        <w:rPr>
          <w:rFonts w:eastAsia="Times New Roman"/>
          <w:i/>
          <w:lang w:eastAsia="hu-HU"/>
        </w:rPr>
        <w:t>törzsbetét</w:t>
      </w:r>
      <w:r w:rsidRPr="00AE6F0C">
        <w:rPr>
          <w:rFonts w:eastAsia="Times New Roman"/>
          <w:lang w:eastAsia="hu-HU"/>
        </w:rPr>
        <w:t xml:space="preserve"> szolgáltatására terjed ki, a társaság kötelezettségeiért a tag nem felel. A társaság tagja tehát voltaképp nem korlátolt felelősségű – e kifejezés leegyszerűsítés és az üzleti kockázat korlátozására utal. A kft. tagjai ugyanis a kft.-vel szemben vállalt vagyoni szolgáltatásuk teljesítéséért teljesen felelnek, a hitelezők felé pedig – törvényben szabályozott különleges esetek, mint pl. az általános szabályok között említett vállalatkiürítés esetén alkalmazandó felelősségátvitel szabályát leszámítva – egyáltalán nem felelnek.</w:t>
      </w:r>
    </w:p>
    <w:p w14:paraId="44959ED9"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kft. személyegyesülés, amelybe tagokat nyilvános felhívás útján toborozni nem lehet. A törzsbetétek aránya természetszerűen különböző lehet. A társaság tagjainak alapvető kötelezettsége a törzsbetét társasági szerződés szerinti befizetése a társaság részére. A kft. tagjai azonban </w:t>
      </w:r>
      <w:r w:rsidRPr="00AE6F0C">
        <w:rPr>
          <w:rFonts w:ascii="Times New Roman" w:eastAsia="Times New Roman" w:hAnsi="Times New Roman" w:cs="Times New Roman"/>
          <w:i/>
          <w:sz w:val="24"/>
          <w:szCs w:val="24"/>
          <w:lang w:eastAsia="hu-HU"/>
        </w:rPr>
        <w:t>mellékszolgáltatásra</w:t>
      </w:r>
      <w:r w:rsidRPr="00AE6F0C">
        <w:rPr>
          <w:rFonts w:ascii="Times New Roman" w:eastAsia="Times New Roman" w:hAnsi="Times New Roman" w:cs="Times New Roman"/>
          <w:sz w:val="24"/>
          <w:szCs w:val="24"/>
          <w:lang w:eastAsia="hu-HU"/>
        </w:rPr>
        <w:t xml:space="preserve"> is vállalhatnak kötelezettséget, a mellékszolgáltatás vagyoni és </w:t>
      </w:r>
      <w:r w:rsidRPr="00AE6F0C">
        <w:rPr>
          <w:rFonts w:ascii="Times New Roman" w:eastAsia="Times New Roman" w:hAnsi="Times New Roman" w:cs="Times New Roman"/>
          <w:sz w:val="24"/>
          <w:szCs w:val="24"/>
          <w:lang w:eastAsia="hu-HU"/>
        </w:rPr>
        <w:lastRenderedPageBreak/>
        <w:t xml:space="preserve">személyes közreműködés egyaránt lehet (a tagot a mellékszolgáltatásért díjazás illetheti meg). A társasági szerződés emellett feljogosíthatja a taggyűlést arra, hogy a veszteségek fedezésére a tagok terhére </w:t>
      </w:r>
      <w:r w:rsidRPr="00AE6F0C">
        <w:rPr>
          <w:rFonts w:ascii="Times New Roman" w:eastAsia="Times New Roman" w:hAnsi="Times New Roman" w:cs="Times New Roman"/>
          <w:i/>
          <w:sz w:val="24"/>
          <w:szCs w:val="24"/>
          <w:lang w:eastAsia="hu-HU"/>
        </w:rPr>
        <w:t>pótbefizetési kötelezettséget</w:t>
      </w:r>
      <w:r w:rsidRPr="00AE6F0C">
        <w:rPr>
          <w:rFonts w:ascii="Times New Roman" w:eastAsia="Times New Roman" w:hAnsi="Times New Roman" w:cs="Times New Roman"/>
          <w:sz w:val="24"/>
          <w:szCs w:val="24"/>
          <w:lang w:eastAsia="hu-HU"/>
        </w:rPr>
        <w:t xml:space="preserve"> írjon elő – a társasági szerződésben meg kell határozni a pótbefizetés legmagasabb összegét, valamint a pótbefizetés teljesítésének módját. Ha a társasági szerződés másként nem rendelkezik, a pótbefizetési kötelezettség a törzsbetétek arányához igazodik.</w:t>
      </w:r>
    </w:p>
    <w:p w14:paraId="3AFBC319"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társaság cégbejegyzését követően a tagok jogait és a társaság vagyonából őket megillető hányadot az </w:t>
      </w:r>
      <w:r w:rsidRPr="00AE6F0C">
        <w:rPr>
          <w:rFonts w:ascii="Times New Roman" w:eastAsia="Times New Roman" w:hAnsi="Times New Roman" w:cs="Times New Roman"/>
          <w:i/>
          <w:sz w:val="24"/>
          <w:szCs w:val="24"/>
          <w:lang w:eastAsia="hu-HU"/>
        </w:rPr>
        <w:t>üzletrész</w:t>
      </w:r>
      <w:r w:rsidRPr="00AE6F0C">
        <w:rPr>
          <w:rFonts w:ascii="Times New Roman" w:eastAsia="Times New Roman" w:hAnsi="Times New Roman" w:cs="Times New Roman"/>
          <w:sz w:val="24"/>
          <w:szCs w:val="24"/>
          <w:lang w:eastAsia="hu-HU"/>
        </w:rPr>
        <w:t xml:space="preserve"> testesíti meg. Az üzletrész a törzsbetéthez kapcsolódó jogok és kötelezettségek összessége. Azonos mértékű üzletrészhez azonos tagsági jogok fűződnek, de a társasági szerződés egyes üzletrészeket a többiektől eltérő jogokkal ruházhat fel (pl. szavazattöbblet stb.). Minden tagnak </w:t>
      </w:r>
      <w:r w:rsidRPr="00AE6F0C">
        <w:rPr>
          <w:rFonts w:ascii="Times New Roman" w:eastAsia="Times New Roman" w:hAnsi="Times New Roman" w:cs="Times New Roman"/>
          <w:i/>
          <w:sz w:val="24"/>
          <w:szCs w:val="24"/>
          <w:lang w:eastAsia="hu-HU"/>
        </w:rPr>
        <w:t>csak egy üzletrésze</w:t>
      </w:r>
      <w:r w:rsidRPr="00AE6F0C">
        <w:rPr>
          <w:rFonts w:ascii="Times New Roman" w:eastAsia="Times New Roman" w:hAnsi="Times New Roman" w:cs="Times New Roman"/>
          <w:sz w:val="24"/>
          <w:szCs w:val="24"/>
          <w:lang w:eastAsia="hu-HU"/>
        </w:rPr>
        <w:t xml:space="preserve"> lehet és az üzletrész csak törvényben meghatározott esetekben (pl. öröklés, házastársi közös vagyon megszűnése) osztható fel. A kft. kivételesen és ideiglenesen megszerezheti a saját üzletrészét a törzstőke 50%-ig. A saját üzletrész alapján tagsági jogok nem gyakorolhatók, a saját üzletrészre eső osztalék a tagok között osztandó fel.</w:t>
      </w:r>
    </w:p>
    <w:p w14:paraId="67786EDF"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w:t>
      </w:r>
      <w:r w:rsidRPr="00AE6F0C">
        <w:rPr>
          <w:rFonts w:ascii="Times New Roman" w:eastAsia="Times New Roman" w:hAnsi="Times New Roman" w:cs="Times New Roman"/>
          <w:i/>
          <w:sz w:val="24"/>
          <w:szCs w:val="24"/>
          <w:lang w:eastAsia="hu-HU"/>
        </w:rPr>
        <w:t>üzletrész</w:t>
      </w:r>
      <w:r w:rsidRPr="00AE6F0C">
        <w:rPr>
          <w:rFonts w:ascii="Times New Roman" w:eastAsia="Times New Roman" w:hAnsi="Times New Roman" w:cs="Times New Roman"/>
          <w:sz w:val="24"/>
          <w:szCs w:val="24"/>
          <w:lang w:eastAsia="hu-HU"/>
        </w:rPr>
        <w:t xml:space="preserve"> a tagok között szabadon átruházható (bár a társaság tagjai itt is elővásárlási jogot köthetnek ki). A társaság személyegyesülés jellegéből kifolyóan azonban főszabályként az üzletrész csak egy bonyolult elővásárlási rendszer szerint ruházható át: külső személyekre, először elővásárlási jog illeti meg a tagot, másodszor a társaságot, harmadszor pedig a taggyűlés által erre kijelölt személyt. Az elővásárlási jogot ugyanakkor a társasági szerződésben kizárni, illetve korlátozni is lehet, de az elővásárlási jog átruházása semmis. Az elővásárlási jog – cserével, ajándékozással stb. – való esetleges kijátszását a társasági szerződésben ugyancsak ki lehet zárni, sőt az üzletrész-átruházást a társaság beleegyezéséhez is lehet kötni. Az üzletrész átruházása a társasági szerződés módosítását nem igényli, de a tagjegyzék módosítandó. Az új tagnak a társasági szerződés rendelkezéseit magára nézve kötelezőként el kell fogadnia.</w:t>
      </w:r>
    </w:p>
    <w:p w14:paraId="12424438"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társasági szerződést kft. esetében </w:t>
      </w:r>
      <w:r w:rsidRPr="00AE6F0C">
        <w:rPr>
          <w:rFonts w:ascii="Times New Roman" w:eastAsia="Times New Roman" w:hAnsi="Times New Roman" w:cs="Times New Roman"/>
          <w:i/>
          <w:sz w:val="24"/>
          <w:szCs w:val="24"/>
          <w:lang w:eastAsia="hu-HU"/>
        </w:rPr>
        <w:t>felmondani nem lehet</w:t>
      </w:r>
      <w:r w:rsidRPr="00AE6F0C">
        <w:rPr>
          <w:rFonts w:ascii="Times New Roman" w:eastAsia="Times New Roman" w:hAnsi="Times New Roman" w:cs="Times New Roman"/>
          <w:sz w:val="24"/>
          <w:szCs w:val="24"/>
          <w:lang w:eastAsia="hu-HU"/>
        </w:rPr>
        <w:t xml:space="preserve">, csak az üzletrész </w:t>
      </w:r>
      <w:r w:rsidRPr="00AE6F0C">
        <w:rPr>
          <w:rFonts w:ascii="Times New Roman" w:eastAsia="Times New Roman" w:hAnsi="Times New Roman" w:cs="Times New Roman"/>
          <w:i/>
          <w:sz w:val="24"/>
          <w:szCs w:val="24"/>
          <w:lang w:eastAsia="hu-HU"/>
        </w:rPr>
        <w:t>átruházásával lehet</w:t>
      </w:r>
      <w:r w:rsidRPr="00AE6F0C">
        <w:rPr>
          <w:rFonts w:ascii="Times New Roman" w:eastAsia="Times New Roman" w:hAnsi="Times New Roman" w:cs="Times New Roman"/>
          <w:sz w:val="24"/>
          <w:szCs w:val="24"/>
          <w:lang w:eastAsia="hu-HU"/>
        </w:rPr>
        <w:t xml:space="preserve"> „távozni” a társaságból. Az üzletrész – pl. a tag halála esetén – átszáll a jogutódra, kivéve, ha ezt a társasági szerződés kizárja. Az üzletrészt törvényben meghatározott esetekben a taggyűlés bevonhatja, ez estben az üzletrész jogosultjának tagsági viszonya megszűnik, és a törzstőkét le kell szállítani. Ha a tagot a társaság keresete alapján a bíróság kizárja a társaságból, vagy a tagsági a vagyoni hozzájárulás nem teljesítése miatt, az általános szabályok szerint megszűnik, a kft.-</w:t>
      </w:r>
      <w:proofErr w:type="spellStart"/>
      <w:r w:rsidRPr="00AE6F0C">
        <w:rPr>
          <w:rFonts w:ascii="Times New Roman" w:eastAsia="Times New Roman" w:hAnsi="Times New Roman" w:cs="Times New Roman"/>
          <w:sz w:val="24"/>
          <w:szCs w:val="24"/>
          <w:lang w:eastAsia="hu-HU"/>
        </w:rPr>
        <w:t>nek</w:t>
      </w:r>
      <w:proofErr w:type="spellEnd"/>
      <w:r w:rsidRPr="00AE6F0C">
        <w:rPr>
          <w:rFonts w:ascii="Times New Roman" w:eastAsia="Times New Roman" w:hAnsi="Times New Roman" w:cs="Times New Roman"/>
          <w:sz w:val="24"/>
          <w:szCs w:val="24"/>
          <w:lang w:eastAsia="hu-HU"/>
        </w:rPr>
        <w:t xml:space="preserve"> a volt tag üzletrészét </w:t>
      </w:r>
      <w:proofErr w:type="spellStart"/>
      <w:r w:rsidRPr="00AE6F0C">
        <w:rPr>
          <w:rFonts w:ascii="Times New Roman" w:eastAsia="Times New Roman" w:hAnsi="Times New Roman" w:cs="Times New Roman"/>
          <w:sz w:val="24"/>
          <w:szCs w:val="24"/>
          <w:lang w:eastAsia="hu-HU"/>
        </w:rPr>
        <w:t>értékesítenie</w:t>
      </w:r>
      <w:proofErr w:type="spellEnd"/>
      <w:r w:rsidRPr="00AE6F0C">
        <w:rPr>
          <w:rFonts w:ascii="Times New Roman" w:eastAsia="Times New Roman" w:hAnsi="Times New Roman" w:cs="Times New Roman"/>
          <w:sz w:val="24"/>
          <w:szCs w:val="24"/>
          <w:lang w:eastAsia="hu-HU"/>
        </w:rPr>
        <w:t xml:space="preserve"> kell. Az értékesítés módját (pl. árverés) a Gt. szabályainak átvételével a Ptk. részletesen szabályozza. Az értékesítésből befolyt vételárral a volt taggal el kell számolni.</w:t>
      </w:r>
    </w:p>
    <w:p w14:paraId="133FDEB4"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társasági szerződés eltérő rendelkezése hiányában a </w:t>
      </w:r>
      <w:r w:rsidRPr="00AE6F0C">
        <w:rPr>
          <w:rFonts w:ascii="Times New Roman" w:eastAsia="Times New Roman" w:hAnsi="Times New Roman" w:cs="Times New Roman"/>
          <w:i/>
          <w:sz w:val="24"/>
          <w:szCs w:val="24"/>
          <w:lang w:eastAsia="hu-HU"/>
        </w:rPr>
        <w:t>nyereség és a veszteség a tagok között vagyoni hozzájárulásuk arányában oszlik meg</w:t>
      </w:r>
      <w:r w:rsidRPr="00AE6F0C">
        <w:rPr>
          <w:rFonts w:ascii="Times New Roman" w:eastAsia="Times New Roman" w:hAnsi="Times New Roman" w:cs="Times New Roman"/>
          <w:sz w:val="24"/>
          <w:szCs w:val="24"/>
          <w:lang w:eastAsia="hu-HU"/>
        </w:rPr>
        <w:t xml:space="preserve">, de ettől el lehet térni, és a </w:t>
      </w:r>
      <w:r w:rsidRPr="00AE6F0C">
        <w:rPr>
          <w:rFonts w:ascii="Times New Roman" w:eastAsia="Times New Roman" w:hAnsi="Times New Roman" w:cs="Times New Roman"/>
          <w:i/>
          <w:sz w:val="24"/>
          <w:szCs w:val="24"/>
          <w:lang w:eastAsia="hu-HU"/>
        </w:rPr>
        <w:t>tagi jogok eltéríthetők</w:t>
      </w:r>
      <w:r w:rsidRPr="00AE6F0C">
        <w:rPr>
          <w:rFonts w:ascii="Times New Roman" w:eastAsia="Times New Roman" w:hAnsi="Times New Roman" w:cs="Times New Roman"/>
          <w:sz w:val="24"/>
          <w:szCs w:val="24"/>
          <w:lang w:eastAsia="hu-HU"/>
        </w:rPr>
        <w:t xml:space="preserve"> a vagyoni hozzájárulás arányától (un, „</w:t>
      </w:r>
      <w:r w:rsidRPr="00AE6F0C">
        <w:rPr>
          <w:rFonts w:ascii="Times New Roman" w:eastAsia="Times New Roman" w:hAnsi="Times New Roman" w:cs="Times New Roman"/>
          <w:i/>
          <w:sz w:val="24"/>
          <w:szCs w:val="24"/>
          <w:lang w:eastAsia="hu-HU"/>
        </w:rPr>
        <w:t>külön jogos üzletrész</w:t>
      </w:r>
      <w:r w:rsidRPr="00AE6F0C">
        <w:rPr>
          <w:rFonts w:ascii="Times New Roman" w:eastAsia="Times New Roman" w:hAnsi="Times New Roman" w:cs="Times New Roman"/>
          <w:sz w:val="24"/>
          <w:szCs w:val="24"/>
          <w:lang w:eastAsia="hu-HU"/>
        </w:rPr>
        <w:t xml:space="preserve">”). A külön jogos üzletrésszel rendelkező tag többletjogokkal rendelkezhet, azaz lehet pl. többszörös szavazati joga, vagy „elsőbbségi” (többlet) osztalékjogosultsága, ahhoz képest, amire a vagyoni hozzájárulásának aránya jogosítaná, illetve egyéb többletjogok (pl. a vezető tisztségviselő kijelölésére vonatkozó jog) is köthetők a létesítő okiratban egy-egy az üzletrészhez. </w:t>
      </w:r>
    </w:p>
    <w:p w14:paraId="144F6860"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kft.-nél a taggyűlés határozata alapján közbenső mérleggel osztalékelőleg fizetésére is mód van, ha a társaság rendelkezik kellő fedezettel.</w:t>
      </w:r>
    </w:p>
    <w:p w14:paraId="4563DB34"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társaság </w:t>
      </w:r>
      <w:r w:rsidRPr="00AE6F0C">
        <w:rPr>
          <w:rFonts w:ascii="Times New Roman" w:eastAsia="Times New Roman" w:hAnsi="Times New Roman" w:cs="Times New Roman"/>
          <w:i/>
          <w:sz w:val="24"/>
          <w:szCs w:val="24"/>
          <w:lang w:eastAsia="hu-HU"/>
        </w:rPr>
        <w:t>legfőbb szerve a taggyűlés</w:t>
      </w:r>
      <w:r w:rsidRPr="00AE6F0C">
        <w:rPr>
          <w:rFonts w:ascii="Times New Roman" w:eastAsia="Times New Roman" w:hAnsi="Times New Roman" w:cs="Times New Roman"/>
          <w:sz w:val="24"/>
          <w:szCs w:val="24"/>
          <w:lang w:eastAsia="hu-HU"/>
        </w:rPr>
        <w:t>, a taggyűlés egy vagy több ügyvezetőt választ a társaság operatív vezetésére. A taggyűlés működésére a Ptk. részletes szabályokat állapít meg. Az ügyvezetőket a taggyűlés egyszerű többséggel választja, illetve hívhatja vissza, hacsak a társasági szerződés másként nem rendelkezik. Tag is lehet ügyvezető. Mivel a Ptk. 3:4. § általános felhatalmazás ad a Ptk. szabályaitól való eltérésre, elvileg lehetséges kft.-nél több ügyvezetőből álló testületi ügyvezetőség felállítása is. Erre eddig nem volt mód.</w:t>
      </w:r>
    </w:p>
    <w:p w14:paraId="22DD39C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lastRenderedPageBreak/>
        <w:tab/>
      </w:r>
    </w:p>
    <w:p w14:paraId="1BFF3422"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r w:rsidRPr="00AE6F0C">
        <w:rPr>
          <w:rFonts w:ascii="Times New Roman" w:eastAsia="Times New Roman" w:hAnsi="Times New Roman" w:cs="Times New Roman"/>
          <w:i/>
          <w:sz w:val="24"/>
          <w:szCs w:val="24"/>
          <w:lang w:eastAsia="hu-HU"/>
        </w:rPr>
        <w:t>felügyelőbizottságra és a társasági könyvvizsgálóra</w:t>
      </w:r>
      <w:r w:rsidRPr="00AE6F0C">
        <w:rPr>
          <w:rFonts w:ascii="Times New Roman" w:eastAsia="Times New Roman" w:hAnsi="Times New Roman" w:cs="Times New Roman"/>
          <w:sz w:val="24"/>
          <w:szCs w:val="24"/>
          <w:lang w:eastAsia="hu-HU"/>
        </w:rPr>
        <w:t xml:space="preserve"> speciális szabály nincs, kft.-nél tehát a jogi személyek általános szablyainál, illetve a társasági közös szabályoknál elmondottak az irányadók.</w:t>
      </w:r>
    </w:p>
    <w:p w14:paraId="287FBAD8"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kft. taggyűlésén is mód van az általános szabályok szerint elektronikus hírközlő eszközök használatára, valamint ülés nélküli határozathozatalra. Az ügyvetető köteles összehívni a taggyűlést a szükséges intézkedések (pl. pótbefizetés, törzstőke leszállítása) megtétele végett, ha a társaság saját tőkéje a veszteség folytán a törzstőke felére vagy a törvényi törzstőkeminimum alá csökkent, továbbá, ha a társaságot fizetésképtelenség fenyegeti, illetve vagyona tartozásait nem fedezi. A taggyűlésről az ügyvezetésnek jegyzőkönyvet kell felvennie, a taggyűlés döntéseit pedig be kell vezetni a Határozatok Könyvébe. A Ptk. 3:191. § rendezi a határozatképtelenség miatt elmaradt taggyűlés esetén tartandó ún. </w:t>
      </w:r>
      <w:r w:rsidRPr="00AE6F0C">
        <w:rPr>
          <w:rFonts w:ascii="Times New Roman" w:eastAsia="Times New Roman" w:hAnsi="Times New Roman" w:cs="Times New Roman"/>
          <w:i/>
          <w:sz w:val="24"/>
          <w:szCs w:val="24"/>
          <w:lang w:eastAsia="hu-HU"/>
        </w:rPr>
        <w:t>megismételt taggyűlést,</w:t>
      </w:r>
      <w:r w:rsidRPr="00AE6F0C">
        <w:rPr>
          <w:rFonts w:ascii="Times New Roman" w:eastAsia="Times New Roman" w:hAnsi="Times New Roman" w:cs="Times New Roman"/>
          <w:sz w:val="24"/>
          <w:szCs w:val="24"/>
          <w:lang w:eastAsia="hu-HU"/>
        </w:rPr>
        <w:t xml:space="preserve"> amelyet az eredeti időponttól számított legalább három nap elteltével és legfeljebb tizenöt nappal későbbre lehet összehívni. A három napnál rövidebb határidőt előíró társasági szerződési rendelkezés semmis (ez a korábbi szabályozáshoz képest szigorúbb).</w:t>
      </w:r>
    </w:p>
    <w:p w14:paraId="472FB6A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Ptk. </w:t>
      </w:r>
      <w:proofErr w:type="gramStart"/>
      <w:r w:rsidRPr="00AE6F0C">
        <w:rPr>
          <w:rFonts w:ascii="Times New Roman" w:eastAsia="Times New Roman" w:hAnsi="Times New Roman" w:cs="Times New Roman"/>
          <w:sz w:val="24"/>
          <w:szCs w:val="24"/>
          <w:lang w:eastAsia="hu-HU"/>
        </w:rPr>
        <w:t>kft.-</w:t>
      </w:r>
      <w:proofErr w:type="spellStart"/>
      <w:r w:rsidRPr="00AE6F0C">
        <w:rPr>
          <w:rFonts w:ascii="Times New Roman" w:eastAsia="Times New Roman" w:hAnsi="Times New Roman" w:cs="Times New Roman"/>
          <w:sz w:val="24"/>
          <w:szCs w:val="24"/>
          <w:lang w:eastAsia="hu-HU"/>
        </w:rPr>
        <w:t>ről</w:t>
      </w:r>
      <w:proofErr w:type="spellEnd"/>
      <w:proofErr w:type="gramEnd"/>
      <w:r w:rsidRPr="00AE6F0C">
        <w:rPr>
          <w:rFonts w:ascii="Times New Roman" w:eastAsia="Times New Roman" w:hAnsi="Times New Roman" w:cs="Times New Roman"/>
          <w:sz w:val="24"/>
          <w:szCs w:val="24"/>
          <w:lang w:eastAsia="hu-HU"/>
        </w:rPr>
        <w:t xml:space="preserve"> szóló része részletes szabályozásban részesíti a törzstőke </w:t>
      </w:r>
      <w:r w:rsidRPr="00AE6F0C">
        <w:rPr>
          <w:rFonts w:ascii="Times New Roman" w:eastAsia="Times New Roman" w:hAnsi="Times New Roman" w:cs="Times New Roman"/>
          <w:i/>
          <w:sz w:val="24"/>
          <w:szCs w:val="24"/>
          <w:lang w:eastAsia="hu-HU"/>
        </w:rPr>
        <w:t>felemelését</w:t>
      </w:r>
      <w:r w:rsidRPr="00AE6F0C">
        <w:rPr>
          <w:rFonts w:ascii="Times New Roman" w:eastAsia="Times New Roman" w:hAnsi="Times New Roman" w:cs="Times New Roman"/>
          <w:sz w:val="24"/>
          <w:szCs w:val="24"/>
          <w:lang w:eastAsia="hu-HU"/>
        </w:rPr>
        <w:t xml:space="preserve"> (pl. új törzsbetétekkel, a törzstőkén felüli vagyonból) és különösen – garanciális okokból – a </w:t>
      </w:r>
      <w:r w:rsidRPr="00AE6F0C">
        <w:rPr>
          <w:rFonts w:ascii="Times New Roman" w:eastAsia="Times New Roman" w:hAnsi="Times New Roman" w:cs="Times New Roman"/>
          <w:i/>
          <w:sz w:val="24"/>
          <w:szCs w:val="24"/>
          <w:lang w:eastAsia="hu-HU"/>
        </w:rPr>
        <w:t>törzstőke leszállítását</w:t>
      </w:r>
      <w:r w:rsidRPr="00AE6F0C">
        <w:rPr>
          <w:rFonts w:ascii="Times New Roman" w:eastAsia="Times New Roman" w:hAnsi="Times New Roman" w:cs="Times New Roman"/>
          <w:sz w:val="24"/>
          <w:szCs w:val="24"/>
          <w:lang w:eastAsia="hu-HU"/>
        </w:rPr>
        <w:t xml:space="preserve"> (3:198–3:206. §).</w:t>
      </w:r>
    </w:p>
    <w:p w14:paraId="0C7FEC42"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kft.-</w:t>
      </w:r>
      <w:proofErr w:type="spellStart"/>
      <w:r w:rsidRPr="00AE6F0C">
        <w:rPr>
          <w:rFonts w:ascii="Times New Roman" w:eastAsia="Times New Roman" w:hAnsi="Times New Roman" w:cs="Times New Roman"/>
          <w:sz w:val="24"/>
          <w:szCs w:val="24"/>
          <w:lang w:eastAsia="hu-HU"/>
        </w:rPr>
        <w:t>nek</w:t>
      </w:r>
      <w:proofErr w:type="spellEnd"/>
      <w:r w:rsidRPr="00AE6F0C">
        <w:rPr>
          <w:rFonts w:ascii="Times New Roman" w:eastAsia="Times New Roman" w:hAnsi="Times New Roman" w:cs="Times New Roman"/>
          <w:sz w:val="24"/>
          <w:szCs w:val="24"/>
          <w:lang w:eastAsia="hu-HU"/>
        </w:rPr>
        <w:t xml:space="preserve"> létezik </w:t>
      </w:r>
      <w:r w:rsidRPr="00AE6F0C">
        <w:rPr>
          <w:rFonts w:ascii="Times New Roman" w:eastAsia="Times New Roman" w:hAnsi="Times New Roman" w:cs="Times New Roman"/>
          <w:i/>
          <w:sz w:val="24"/>
          <w:szCs w:val="24"/>
          <w:lang w:eastAsia="hu-HU"/>
        </w:rPr>
        <w:t>egyszemélyes változata</w:t>
      </w:r>
      <w:r w:rsidRPr="00AE6F0C">
        <w:rPr>
          <w:rFonts w:ascii="Times New Roman" w:eastAsia="Times New Roman" w:hAnsi="Times New Roman" w:cs="Times New Roman"/>
          <w:sz w:val="24"/>
          <w:szCs w:val="24"/>
          <w:lang w:eastAsia="hu-HU"/>
        </w:rPr>
        <w:t xml:space="preserve"> is (Ptk. 3:208–3:209. §). Az egyszemélyes kft.-nél az egyedüli tag jár el a taggyűlés hatáskörében és az ügyvezetőnek írásbeli utasítást adhat. Mivel az egyszemélyes tag lényegében elvonhatja a kft. vagyonát, az egyszemélyes társaság felszámolása esetén a kielégítetlenül maradt hitelezőkkel szemben az egyedüli tag felel a konszernjogi előírások szerint, amennyiben a hitelező bizonyítja, hogy a jogutód nélküli megszűnésre az egyedüli tag hátrányos üzletpolitikája miatt került sor.</w:t>
      </w:r>
      <w:bookmarkStart w:id="367" w:name="_Toc2761144"/>
    </w:p>
    <w:p w14:paraId="2297588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p>
    <w:p w14:paraId="232CD205" w14:textId="77777777" w:rsidR="00405F24" w:rsidRPr="00AE6F0C" w:rsidRDefault="00352FB0" w:rsidP="00EC10C5">
      <w:pPr>
        <w:pStyle w:val="Stlus3"/>
      </w:pPr>
      <w:r>
        <w:t>F</w:t>
      </w:r>
      <w:r w:rsidR="00405F24" w:rsidRPr="00AE6F0C">
        <w:t>.2. A részvénytársaság</w:t>
      </w:r>
      <w:bookmarkEnd w:id="367"/>
    </w:p>
    <w:p w14:paraId="0981D785"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Az új Ptk. – a korábbi Gt.-kkel azonosan – igen bőven, több mint száz paragrafusban szabályozza a részvénytársaságot (Ptk. 3:210–3:323. §).</w:t>
      </w:r>
    </w:p>
    <w:p w14:paraId="5535CAA7" w14:textId="77777777" w:rsidR="00352FB0" w:rsidRPr="00AE6F0C" w:rsidRDefault="00352FB0" w:rsidP="00EC10C5">
      <w:pPr>
        <w:spacing w:after="60" w:line="240" w:lineRule="auto"/>
        <w:ind w:firstLine="709"/>
        <w:jc w:val="both"/>
        <w:rPr>
          <w:rFonts w:ascii="Times New Roman" w:eastAsia="Times New Roman" w:hAnsi="Times New Roman" w:cs="Times New Roman"/>
          <w:sz w:val="24"/>
          <w:szCs w:val="24"/>
          <w:lang w:eastAsia="hu-HU"/>
        </w:rPr>
      </w:pPr>
    </w:p>
    <w:p w14:paraId="0BAC517F" w14:textId="77777777" w:rsidR="00405F24" w:rsidRPr="00AE6F0C" w:rsidRDefault="00352FB0" w:rsidP="00EC10C5">
      <w:pPr>
        <w:pStyle w:val="Stlus3"/>
      </w:pPr>
      <w:bookmarkStart w:id="368" w:name="_Toc2761145"/>
      <w:bookmarkStart w:id="369" w:name="_Toc13141289"/>
      <w:r>
        <w:t>F</w:t>
      </w:r>
      <w:r w:rsidR="00405F24" w:rsidRPr="00AE6F0C">
        <w:t>.2.1. A részvénytársaság alapvonásai</w:t>
      </w:r>
      <w:bookmarkEnd w:id="368"/>
      <w:bookmarkEnd w:id="369"/>
    </w:p>
    <w:p w14:paraId="6CBF2D08"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részvénytársaság:</w:t>
      </w:r>
    </w:p>
    <w:p w14:paraId="7D2F7913"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előre meghatározott számú és névértékű részvényekből álló </w:t>
      </w:r>
      <w:r w:rsidRPr="00AE6F0C">
        <w:rPr>
          <w:rFonts w:eastAsia="Times New Roman"/>
          <w:i/>
          <w:lang w:eastAsia="hu-HU"/>
        </w:rPr>
        <w:t>alaptőkével</w:t>
      </w:r>
      <w:r w:rsidRPr="00AE6F0C">
        <w:rPr>
          <w:rFonts w:eastAsia="Times New Roman"/>
          <w:lang w:eastAsia="hu-HU"/>
        </w:rPr>
        <w:t xml:space="preserve"> alakul. Jelenleg a magyar jogban részvény névértékminimum nincs. Részvényt névértéke alatt kibocsátani tilos, névérték felelli kibocsátás lehetséges, ez esetben a névérték és a kibocsátási érték különbsége az alaptőke feletti vagyonba kerül. Az új Ptk. – a kft.-vel ellentétben – az rt. alaptőke-minimumokat nem változtatta meg, nyilvánosan működő rt. legkisebb alaptőkéje jelenleg 20 millió Ft, a zártan működő rt.-é pedig 5 millió Ft;</w:t>
      </w:r>
    </w:p>
    <w:p w14:paraId="2144C0C5" w14:textId="77777777" w:rsidR="00405F24" w:rsidRPr="00AE6F0C" w:rsidRDefault="00405F24" w:rsidP="00EC10C5">
      <w:pPr>
        <w:pStyle w:val="Stlus2"/>
        <w:rPr>
          <w:rFonts w:eastAsia="Times New Roman"/>
          <w:lang w:eastAsia="hu-HU"/>
        </w:rPr>
      </w:pPr>
      <w:r w:rsidRPr="00AE6F0C">
        <w:rPr>
          <w:rFonts w:eastAsia="Times New Roman"/>
          <w:lang w:eastAsia="hu-HU"/>
        </w:rPr>
        <w:t>a részvényes vagyoni hozzájárulásáról értékpapírt, részvényt kap, a részvény testesíti meg a részvényes vagyoni és személyi jogait;</w:t>
      </w:r>
    </w:p>
    <w:p w14:paraId="65A40A93" w14:textId="77777777" w:rsidR="00405F24" w:rsidRPr="00AE6F0C" w:rsidRDefault="00405F24" w:rsidP="00EC10C5">
      <w:pPr>
        <w:pStyle w:val="Stlus2"/>
        <w:rPr>
          <w:rFonts w:eastAsia="Times New Roman"/>
          <w:lang w:eastAsia="hu-HU"/>
        </w:rPr>
      </w:pPr>
      <w:r w:rsidRPr="00AE6F0C">
        <w:rPr>
          <w:rFonts w:eastAsia="Times New Roman"/>
          <w:lang w:eastAsia="hu-HU"/>
        </w:rPr>
        <w:t>a részvényesek csak részvényük névértékét (kibocsátási értékét) kötelesek szolgálni a részvénytársaságnak (rt.-nél nincs mellékszolgáltatás, pótbefizetés, mint a kft.-nél – az rt. tőketársulás);</w:t>
      </w:r>
    </w:p>
    <w:p w14:paraId="61368E67" w14:textId="77777777" w:rsidR="00405F24" w:rsidRPr="00AE6F0C" w:rsidRDefault="00405F24" w:rsidP="00EC10C5">
      <w:pPr>
        <w:pStyle w:val="Stlus2"/>
        <w:rPr>
          <w:rFonts w:eastAsia="Times New Roman"/>
          <w:lang w:eastAsia="hu-HU"/>
        </w:rPr>
      </w:pPr>
      <w:r w:rsidRPr="00AE6F0C">
        <w:rPr>
          <w:rFonts w:eastAsia="Times New Roman"/>
          <w:lang w:eastAsia="hu-HU"/>
        </w:rPr>
        <w:t>a részvényes az rt. tartozásaiért az rt. hitelezőivel szemben nem felel (Ptk. 3:210. §).</w:t>
      </w:r>
    </w:p>
    <w:p w14:paraId="0501FFEE"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Eredetileg a részvénytársaságok többségét – bemutatóra szóló részvényekkel – nyilvánosan alapították, és a 19. században, illetve a 20. század elején még kivétel volt a zárt alapítás és a névre szóló részvény. Az új Ptk.-</w:t>
      </w:r>
      <w:proofErr w:type="spellStart"/>
      <w:r w:rsidRPr="00AE6F0C">
        <w:rPr>
          <w:rFonts w:ascii="Times New Roman" w:eastAsia="Times New Roman" w:hAnsi="Times New Roman" w:cs="Times New Roman"/>
          <w:sz w:val="24"/>
          <w:szCs w:val="24"/>
          <w:lang w:eastAsia="hu-HU"/>
        </w:rPr>
        <w:t>ból</w:t>
      </w:r>
      <w:proofErr w:type="spellEnd"/>
      <w:r w:rsidRPr="00AE6F0C">
        <w:rPr>
          <w:rFonts w:ascii="Times New Roman" w:eastAsia="Times New Roman" w:hAnsi="Times New Roman" w:cs="Times New Roman"/>
          <w:sz w:val="24"/>
          <w:szCs w:val="24"/>
          <w:lang w:eastAsia="hu-HU"/>
        </w:rPr>
        <w:t xml:space="preserve"> a nyilvános alapítás lehetősége már teljesen </w:t>
      </w:r>
      <w:r w:rsidRPr="00AE6F0C">
        <w:rPr>
          <w:rFonts w:ascii="Times New Roman" w:eastAsia="Times New Roman" w:hAnsi="Times New Roman" w:cs="Times New Roman"/>
          <w:sz w:val="24"/>
          <w:szCs w:val="24"/>
          <w:lang w:eastAsia="hu-HU"/>
        </w:rPr>
        <w:lastRenderedPageBreak/>
        <w:t>kimaradt (a korábbi társasági törvények még tartalmazták, de a gyakorlatban ilyen alapítás már korábban sem volt)</w:t>
      </w:r>
      <w:r w:rsidRPr="00AE6F0C">
        <w:rPr>
          <w:rFonts w:ascii="Times New Roman" w:eastAsia="Times New Roman" w:hAnsi="Times New Roman" w:cs="Times New Roman"/>
          <w:i/>
          <w:sz w:val="24"/>
          <w:szCs w:val="24"/>
          <w:lang w:eastAsia="hu-HU"/>
        </w:rPr>
        <w:t>.</w:t>
      </w:r>
    </w:p>
    <w:p w14:paraId="38C40043"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w:t>
      </w:r>
      <w:r w:rsidRPr="00AE6F0C">
        <w:rPr>
          <w:rFonts w:ascii="Times New Roman" w:eastAsia="Times New Roman" w:hAnsi="Times New Roman" w:cs="Times New Roman"/>
          <w:i/>
          <w:sz w:val="24"/>
          <w:szCs w:val="24"/>
          <w:lang w:eastAsia="hu-HU"/>
        </w:rPr>
        <w:t>alapítás módjától különbözik</w:t>
      </w:r>
      <w:r w:rsidRPr="00AE6F0C">
        <w:rPr>
          <w:rFonts w:ascii="Times New Roman" w:eastAsia="Times New Roman" w:hAnsi="Times New Roman" w:cs="Times New Roman"/>
          <w:sz w:val="24"/>
          <w:szCs w:val="24"/>
          <w:lang w:eastAsia="hu-HU"/>
        </w:rPr>
        <w:t xml:space="preserve"> a részvénytársaság </w:t>
      </w:r>
      <w:r w:rsidRPr="00AE6F0C">
        <w:rPr>
          <w:rFonts w:ascii="Times New Roman" w:eastAsia="Times New Roman" w:hAnsi="Times New Roman" w:cs="Times New Roman"/>
          <w:i/>
          <w:sz w:val="24"/>
          <w:szCs w:val="24"/>
          <w:lang w:eastAsia="hu-HU"/>
        </w:rPr>
        <w:t>működési módja.</w:t>
      </w:r>
      <w:r w:rsidRPr="00AE6F0C">
        <w:rPr>
          <w:rFonts w:ascii="Times New Roman" w:eastAsia="Times New Roman" w:hAnsi="Times New Roman" w:cs="Times New Roman"/>
          <w:sz w:val="24"/>
          <w:szCs w:val="24"/>
          <w:lang w:eastAsia="hu-HU"/>
        </w:rPr>
        <w:t xml:space="preserve"> A 2006-os Gt.-ben élesen szét is vált e két különböző működési módban (</w:t>
      </w:r>
      <w:r w:rsidRPr="00AE6F0C">
        <w:rPr>
          <w:rFonts w:ascii="Times New Roman" w:eastAsia="Times New Roman" w:hAnsi="Times New Roman" w:cs="Times New Roman"/>
          <w:i/>
          <w:sz w:val="24"/>
          <w:szCs w:val="24"/>
          <w:lang w:eastAsia="hu-HU"/>
        </w:rPr>
        <w:t>zártkörűen</w:t>
      </w:r>
      <w:r w:rsidRPr="00AE6F0C">
        <w:rPr>
          <w:rFonts w:ascii="Times New Roman" w:eastAsia="Times New Roman" w:hAnsi="Times New Roman" w:cs="Times New Roman"/>
          <w:sz w:val="24"/>
          <w:szCs w:val="24"/>
          <w:lang w:eastAsia="hu-HU"/>
        </w:rPr>
        <w:t xml:space="preserve"> vagy </w:t>
      </w:r>
      <w:r w:rsidRPr="00AE6F0C">
        <w:rPr>
          <w:rFonts w:ascii="Times New Roman" w:eastAsia="Times New Roman" w:hAnsi="Times New Roman" w:cs="Times New Roman"/>
          <w:i/>
          <w:sz w:val="24"/>
          <w:szCs w:val="24"/>
          <w:lang w:eastAsia="hu-HU"/>
        </w:rPr>
        <w:t>nyilvánosan</w:t>
      </w:r>
      <w:r w:rsidRPr="00AE6F0C">
        <w:rPr>
          <w:rFonts w:ascii="Times New Roman" w:eastAsia="Times New Roman" w:hAnsi="Times New Roman" w:cs="Times New Roman"/>
          <w:sz w:val="24"/>
          <w:szCs w:val="24"/>
          <w:lang w:eastAsia="hu-HU"/>
        </w:rPr>
        <w:t xml:space="preserve">) tevékenykedő részvénytársaság. Az eltérő működési módot a cégnévben (zrt.–nyrt.) is fel kell tüntetni. A Ptk. is fenntartotta ezt a megkülönböztetést. A Ptk. 3:211. § szerint </w:t>
      </w:r>
      <w:r w:rsidRPr="00AE6F0C">
        <w:rPr>
          <w:rFonts w:ascii="Times New Roman" w:eastAsia="Times New Roman" w:hAnsi="Times New Roman" w:cs="Times New Roman"/>
          <w:i/>
          <w:sz w:val="24"/>
          <w:szCs w:val="24"/>
          <w:lang w:eastAsia="hu-HU"/>
        </w:rPr>
        <w:t>az az rt., amelynek részvényeit a tőzsdére (szervezett értékpapírpiacra) bevezették, nyilvánosan működő részvénytársaságnak minősül, minden más rt. zártkörűen működik.</w:t>
      </w:r>
      <w:r w:rsidRPr="00AE6F0C">
        <w:rPr>
          <w:rFonts w:ascii="Times New Roman" w:eastAsia="Times New Roman" w:hAnsi="Times New Roman" w:cs="Times New Roman"/>
          <w:sz w:val="24"/>
          <w:szCs w:val="24"/>
          <w:lang w:eastAsia="hu-HU"/>
        </w:rPr>
        <w:t xml:space="preserve"> (A tőzsdének nem kell feltétlenül magyar értékpapírtőzsdének lennie.)</w:t>
      </w:r>
    </w:p>
    <w:p w14:paraId="524AEA06"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Az rt. működési módjának megváltoztatásához a közgyűlés legalább háromnegyedes szótöbbséggel hozott határozatára van szükség (ez szerintem mindenképp kötelező szabály), amely a részvények tőzsdére való bevezetésével, illetve kivezetésével válik hatályossá.</w:t>
      </w:r>
    </w:p>
    <w:p w14:paraId="1F00C04C" w14:textId="77777777" w:rsidR="00352FB0" w:rsidRPr="00AE6F0C" w:rsidRDefault="00352FB0" w:rsidP="00EC10C5">
      <w:pPr>
        <w:spacing w:after="60" w:line="240" w:lineRule="auto"/>
        <w:ind w:firstLine="709"/>
        <w:jc w:val="both"/>
        <w:rPr>
          <w:rFonts w:ascii="Times New Roman" w:eastAsia="Times New Roman" w:hAnsi="Times New Roman" w:cs="Times New Roman"/>
          <w:sz w:val="24"/>
          <w:szCs w:val="24"/>
          <w:lang w:eastAsia="hu-HU"/>
        </w:rPr>
      </w:pPr>
    </w:p>
    <w:p w14:paraId="7ADDEE76" w14:textId="77777777" w:rsidR="00405F24" w:rsidRPr="00AE6F0C" w:rsidRDefault="00352FB0" w:rsidP="00EC10C5">
      <w:pPr>
        <w:pStyle w:val="Stlus3"/>
      </w:pPr>
      <w:bookmarkStart w:id="370" w:name="_Toc2761146"/>
      <w:bookmarkStart w:id="371" w:name="_Toc13141290"/>
      <w:r>
        <w:t>F</w:t>
      </w:r>
      <w:r w:rsidR="00405F24" w:rsidRPr="00AE6F0C">
        <w:t>.2.2. A részvény - részvényosztályozások</w:t>
      </w:r>
      <w:bookmarkEnd w:id="370"/>
      <w:bookmarkEnd w:id="371"/>
    </w:p>
    <w:p w14:paraId="2F121051" w14:textId="77777777" w:rsidR="00405F24" w:rsidRPr="00133C36"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Ptk. 3:213. §-a szerint a részvény a kibocsátó részvénytársaságban gyakorolt tagsági jogokat megtestesítő, névre szóló, névértékkel </w:t>
      </w:r>
      <w:r w:rsidRPr="00133C36">
        <w:rPr>
          <w:rFonts w:ascii="Times New Roman" w:eastAsia="Times New Roman" w:hAnsi="Times New Roman" w:cs="Times New Roman"/>
          <w:sz w:val="24"/>
          <w:szCs w:val="24"/>
          <w:lang w:eastAsia="hu-HU"/>
        </w:rPr>
        <w:t xml:space="preserve">rendelkező forgalomképes értékpapír. Az értékpapírjog szerint kétfajta alapvető értékpapír van, az ún. hitelpapír (váltó, csekk, kötvény stb.), és a tagsági jogokat </w:t>
      </w:r>
      <w:proofErr w:type="spellStart"/>
      <w:r w:rsidRPr="00133C36">
        <w:rPr>
          <w:rFonts w:ascii="Times New Roman" w:eastAsia="Times New Roman" w:hAnsi="Times New Roman" w:cs="Times New Roman"/>
          <w:sz w:val="24"/>
          <w:szCs w:val="24"/>
          <w:lang w:eastAsia="hu-HU"/>
        </w:rPr>
        <w:t>inkorporáló</w:t>
      </w:r>
      <w:proofErr w:type="spellEnd"/>
      <w:r w:rsidRPr="00133C36">
        <w:rPr>
          <w:rFonts w:ascii="Times New Roman" w:eastAsia="Times New Roman" w:hAnsi="Times New Roman" w:cs="Times New Roman"/>
          <w:sz w:val="24"/>
          <w:szCs w:val="24"/>
          <w:lang w:eastAsia="hu-HU"/>
        </w:rPr>
        <w:t xml:space="preserve"> értékpapír, amelynek alapvető formája a részvény. Az értékpapírok kibocsátására, forgalmazására, az értékpapírpiac felügyeletére a tőkepiaci törvény (Tpt.) vonatkozik, a felügyeletet a </w:t>
      </w:r>
      <w:r w:rsidRPr="00133C36">
        <w:rPr>
          <w:rFonts w:ascii="Times New Roman" w:eastAsia="Times New Roman" w:hAnsi="Times New Roman" w:cs="Times New Roman"/>
          <w:i/>
          <w:sz w:val="24"/>
          <w:szCs w:val="24"/>
          <w:lang w:eastAsia="hu-HU"/>
        </w:rPr>
        <w:t xml:space="preserve">pénz- és tőkepiaci felügyeletet gyakorló Magyar Nemzeti </w:t>
      </w:r>
      <w:proofErr w:type="gramStart"/>
      <w:r w:rsidRPr="00133C36">
        <w:rPr>
          <w:rFonts w:ascii="Times New Roman" w:eastAsia="Times New Roman" w:hAnsi="Times New Roman" w:cs="Times New Roman"/>
          <w:i/>
          <w:sz w:val="24"/>
          <w:szCs w:val="24"/>
          <w:lang w:eastAsia="hu-HU"/>
        </w:rPr>
        <w:t>Bank</w:t>
      </w:r>
      <w:r w:rsidRPr="00133C36">
        <w:rPr>
          <w:rFonts w:ascii="Times New Roman" w:eastAsia="Times New Roman" w:hAnsi="Times New Roman" w:cs="Times New Roman"/>
          <w:sz w:val="24"/>
          <w:szCs w:val="24"/>
          <w:lang w:eastAsia="hu-HU"/>
        </w:rPr>
        <w:t xml:space="preserve">  látja</w:t>
      </w:r>
      <w:proofErr w:type="gramEnd"/>
      <w:r w:rsidRPr="00133C36">
        <w:rPr>
          <w:rFonts w:ascii="Times New Roman" w:eastAsia="Times New Roman" w:hAnsi="Times New Roman" w:cs="Times New Roman"/>
          <w:sz w:val="24"/>
          <w:szCs w:val="24"/>
          <w:lang w:eastAsia="hu-HU"/>
        </w:rPr>
        <w:t xml:space="preserve"> el. A Ptk. 6. könyve azonban maga is tartalmaz ötödik részében értékpapírjogot (6:565–6:578. §), amely alapvetően az értékpapírok formájával foglalkozik, és általános rendelkezéseket állapít meg. A Ptk. alapvetően az </w:t>
      </w:r>
      <w:r w:rsidRPr="00133C36">
        <w:rPr>
          <w:rFonts w:ascii="Times New Roman" w:eastAsia="Times New Roman" w:hAnsi="Times New Roman" w:cs="Times New Roman"/>
          <w:i/>
          <w:sz w:val="24"/>
          <w:szCs w:val="24"/>
          <w:lang w:eastAsia="hu-HU"/>
        </w:rPr>
        <w:t>okirati formában</w:t>
      </w:r>
      <w:r w:rsidRPr="00133C36">
        <w:rPr>
          <w:rFonts w:ascii="Times New Roman" w:eastAsia="Times New Roman" w:hAnsi="Times New Roman" w:cs="Times New Roman"/>
          <w:sz w:val="24"/>
          <w:szCs w:val="24"/>
          <w:lang w:eastAsia="hu-HU"/>
        </w:rPr>
        <w:t xml:space="preserve"> kiállított (ún. </w:t>
      </w:r>
      <w:r w:rsidRPr="00133C36">
        <w:rPr>
          <w:rFonts w:ascii="Times New Roman" w:eastAsia="Times New Roman" w:hAnsi="Times New Roman" w:cs="Times New Roman"/>
          <w:i/>
          <w:sz w:val="24"/>
          <w:szCs w:val="24"/>
          <w:lang w:eastAsia="hu-HU"/>
        </w:rPr>
        <w:t>nyomdai</w:t>
      </w:r>
      <w:r w:rsidRPr="00133C36">
        <w:rPr>
          <w:rFonts w:ascii="Times New Roman" w:eastAsia="Times New Roman" w:hAnsi="Times New Roman" w:cs="Times New Roman"/>
          <w:sz w:val="24"/>
          <w:szCs w:val="24"/>
          <w:lang w:eastAsia="hu-HU"/>
        </w:rPr>
        <w:t xml:space="preserve">), illetve az </w:t>
      </w:r>
      <w:r w:rsidRPr="00133C36">
        <w:rPr>
          <w:rFonts w:ascii="Times New Roman" w:eastAsia="Times New Roman" w:hAnsi="Times New Roman" w:cs="Times New Roman"/>
          <w:i/>
          <w:sz w:val="24"/>
          <w:szCs w:val="24"/>
          <w:lang w:eastAsia="hu-HU"/>
        </w:rPr>
        <w:t>elektronikus</w:t>
      </w:r>
      <w:r w:rsidRPr="00133C36">
        <w:rPr>
          <w:rFonts w:ascii="Times New Roman" w:eastAsia="Times New Roman" w:hAnsi="Times New Roman" w:cs="Times New Roman"/>
          <w:sz w:val="24"/>
          <w:szCs w:val="24"/>
          <w:lang w:eastAsia="hu-HU"/>
        </w:rPr>
        <w:t xml:space="preserve"> formában rögzített és értékpapírszámlán nyilvántartott, azaz ún. </w:t>
      </w:r>
      <w:proofErr w:type="spellStart"/>
      <w:r w:rsidRPr="00133C36">
        <w:rPr>
          <w:rFonts w:ascii="Times New Roman" w:eastAsia="Times New Roman" w:hAnsi="Times New Roman" w:cs="Times New Roman"/>
          <w:i/>
          <w:sz w:val="24"/>
          <w:szCs w:val="24"/>
          <w:lang w:eastAsia="hu-HU"/>
        </w:rPr>
        <w:t>dematerializált</w:t>
      </w:r>
      <w:proofErr w:type="spellEnd"/>
      <w:r w:rsidRPr="00133C36">
        <w:rPr>
          <w:rFonts w:ascii="Times New Roman" w:eastAsia="Times New Roman" w:hAnsi="Times New Roman" w:cs="Times New Roman"/>
          <w:i/>
          <w:sz w:val="24"/>
          <w:szCs w:val="24"/>
          <w:lang w:eastAsia="hu-HU"/>
        </w:rPr>
        <w:t xml:space="preserve"> értékpapírok</w:t>
      </w:r>
      <w:r w:rsidRPr="00133C36">
        <w:rPr>
          <w:rFonts w:ascii="Times New Roman" w:eastAsia="Times New Roman" w:hAnsi="Times New Roman" w:cs="Times New Roman"/>
          <w:sz w:val="24"/>
          <w:szCs w:val="24"/>
          <w:lang w:eastAsia="hu-HU"/>
        </w:rPr>
        <w:t xml:space="preserve"> közt különbözet. Az értékpapírban rögzített jog gyakorlása kizárólag az értékpapír útján lehetséges – főszabályként pedig az értékpapír átruházható (6:565. §).</w:t>
      </w:r>
    </w:p>
    <w:p w14:paraId="6308B92F"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133C36">
        <w:rPr>
          <w:rFonts w:ascii="Times New Roman" w:eastAsia="Times New Roman" w:hAnsi="Times New Roman" w:cs="Times New Roman"/>
          <w:sz w:val="24"/>
          <w:szCs w:val="24"/>
          <w:lang w:eastAsia="hu-HU"/>
        </w:rPr>
        <w:t>A Ptk. értékpapírjogi fejezete a tagsági jogokról szóló értékpapírokkal külön nem foglalkozik. Miután pedig jelenleg a magyar jogban csak a részvény a tagsági jogokról kiállítható értékpapír, a részvényre vonatkozó részletes szabályozást a Ptk. a</w:t>
      </w:r>
      <w:r w:rsidRPr="00AE6F0C">
        <w:rPr>
          <w:rFonts w:ascii="Times New Roman" w:eastAsia="Times New Roman" w:hAnsi="Times New Roman" w:cs="Times New Roman"/>
          <w:sz w:val="24"/>
          <w:szCs w:val="24"/>
          <w:lang w:eastAsia="hu-HU"/>
        </w:rPr>
        <w:t xml:space="preserve"> részvénytársaság körében, külön fejezetben szabályozza (Ptk. 3:213–3:248. §).</w:t>
      </w:r>
    </w:p>
    <w:p w14:paraId="60B51E08"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részvények </w:t>
      </w:r>
      <w:r w:rsidRPr="00AE6F0C">
        <w:rPr>
          <w:rFonts w:ascii="Times New Roman" w:eastAsia="Times New Roman" w:hAnsi="Times New Roman" w:cs="Times New Roman"/>
          <w:i/>
          <w:sz w:val="24"/>
          <w:szCs w:val="24"/>
          <w:lang w:eastAsia="hu-HU"/>
        </w:rPr>
        <w:t>két alapvető típusa a bemutatóra</w:t>
      </w:r>
      <w:r w:rsidRPr="00AE6F0C">
        <w:rPr>
          <w:rFonts w:ascii="Times New Roman" w:eastAsia="Times New Roman" w:hAnsi="Times New Roman" w:cs="Times New Roman"/>
          <w:sz w:val="24"/>
          <w:szCs w:val="24"/>
          <w:lang w:eastAsia="hu-HU"/>
        </w:rPr>
        <w:t xml:space="preserve"> és a </w:t>
      </w:r>
      <w:r w:rsidRPr="00AE6F0C">
        <w:rPr>
          <w:rFonts w:ascii="Times New Roman" w:eastAsia="Times New Roman" w:hAnsi="Times New Roman" w:cs="Times New Roman"/>
          <w:i/>
          <w:sz w:val="24"/>
          <w:szCs w:val="24"/>
          <w:lang w:eastAsia="hu-HU"/>
        </w:rPr>
        <w:t>névre szóló</w:t>
      </w:r>
      <w:r w:rsidRPr="00AE6F0C">
        <w:rPr>
          <w:rFonts w:ascii="Times New Roman" w:eastAsia="Times New Roman" w:hAnsi="Times New Roman" w:cs="Times New Roman"/>
          <w:sz w:val="24"/>
          <w:szCs w:val="24"/>
          <w:lang w:eastAsia="hu-HU"/>
        </w:rPr>
        <w:t xml:space="preserve"> részvény. A bemutatóra szóló részvényt egyszerű átadással, a névre szóló részvényeket forgatmánnyal lehet átruházni, a névre szóló részvénnyel rendelkező részvényeket a társaság részvénykönyve tartalmazza. A 20. században még a vezető részvénytípus a bemutatóra szóló részvény volt, ez a 20. század második felében gyökeresen megváltozott. A 2006-os Gt. alapján a zártkörűen működő részvénytársaságnak eddig is </w:t>
      </w:r>
      <w:r w:rsidRPr="00AE6F0C">
        <w:rPr>
          <w:rFonts w:ascii="Times New Roman" w:eastAsia="Times New Roman" w:hAnsi="Times New Roman" w:cs="Times New Roman"/>
          <w:i/>
          <w:sz w:val="24"/>
          <w:szCs w:val="24"/>
          <w:lang w:eastAsia="hu-HU"/>
        </w:rPr>
        <w:t xml:space="preserve">csak névre szóló </w:t>
      </w:r>
      <w:r w:rsidRPr="00AE6F0C">
        <w:rPr>
          <w:rFonts w:ascii="Times New Roman" w:eastAsia="Times New Roman" w:hAnsi="Times New Roman" w:cs="Times New Roman"/>
          <w:sz w:val="24"/>
          <w:szCs w:val="24"/>
          <w:lang w:eastAsia="hu-HU"/>
        </w:rPr>
        <w:t xml:space="preserve">részvénye lehetett, most a Ptk. csak névre szóló részvényt ismer a részvénytársaság körében, tehát </w:t>
      </w:r>
      <w:r w:rsidRPr="00AE6F0C">
        <w:rPr>
          <w:rFonts w:ascii="Times New Roman" w:eastAsia="Times New Roman" w:hAnsi="Times New Roman" w:cs="Times New Roman"/>
          <w:i/>
          <w:sz w:val="24"/>
          <w:szCs w:val="24"/>
          <w:lang w:eastAsia="hu-HU"/>
        </w:rPr>
        <w:t>bemutatóra szóló részvény már nincsen</w:t>
      </w:r>
      <w:r w:rsidRPr="00AE6F0C">
        <w:rPr>
          <w:rFonts w:ascii="Times New Roman" w:eastAsia="Times New Roman" w:hAnsi="Times New Roman" w:cs="Times New Roman"/>
          <w:sz w:val="24"/>
          <w:szCs w:val="24"/>
          <w:lang w:eastAsia="hu-HU"/>
        </w:rPr>
        <w:t xml:space="preserve">. </w:t>
      </w:r>
    </w:p>
    <w:p w14:paraId="1F4E1092"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egyes </w:t>
      </w:r>
      <w:r w:rsidRPr="00AE6F0C">
        <w:rPr>
          <w:rFonts w:ascii="Times New Roman" w:eastAsia="Times New Roman" w:hAnsi="Times New Roman" w:cs="Times New Roman"/>
          <w:i/>
          <w:sz w:val="24"/>
          <w:szCs w:val="24"/>
          <w:lang w:eastAsia="hu-HU"/>
        </w:rPr>
        <w:t>részvénytípusokon belül eltérő fajtájú részvények</w:t>
      </w:r>
      <w:r w:rsidRPr="00AE6F0C">
        <w:rPr>
          <w:rFonts w:ascii="Times New Roman" w:eastAsia="Times New Roman" w:hAnsi="Times New Roman" w:cs="Times New Roman"/>
          <w:sz w:val="24"/>
          <w:szCs w:val="24"/>
          <w:lang w:eastAsia="hu-HU"/>
        </w:rPr>
        <w:t xml:space="preserve"> bocsáthatók ki. Az alapvető részvényfajták: az elsőbbségi részvények, a dolgozói részvény, a kamatozó részvény és a visszaváltható részvény. A gyakorlat főleg a különböző elsőbbségi részvényfajtákat alkalmazza. A Ptk. 3:229. §-a szerint minden olyan részvény </w:t>
      </w:r>
      <w:r w:rsidRPr="00AE6F0C">
        <w:rPr>
          <w:rFonts w:ascii="Times New Roman" w:eastAsia="Times New Roman" w:hAnsi="Times New Roman" w:cs="Times New Roman"/>
          <w:i/>
          <w:sz w:val="24"/>
          <w:szCs w:val="24"/>
          <w:lang w:eastAsia="hu-HU"/>
        </w:rPr>
        <w:t>törzsrészvény,</w:t>
      </w:r>
      <w:r w:rsidRPr="00AE6F0C">
        <w:rPr>
          <w:rFonts w:ascii="Times New Roman" w:eastAsia="Times New Roman" w:hAnsi="Times New Roman" w:cs="Times New Roman"/>
          <w:sz w:val="24"/>
          <w:szCs w:val="24"/>
          <w:lang w:eastAsia="hu-HU"/>
        </w:rPr>
        <w:t xml:space="preserve"> amely nem tartozik valamely – alapszabály által az adott társaságnál nevesített – részvényfajtába. Szerintem eltérést nem engedő kötelező szabály, hogy az adott rt. által kibocsátott törzsrészvények </w:t>
      </w:r>
      <w:proofErr w:type="spellStart"/>
      <w:r w:rsidRPr="00AE6F0C">
        <w:rPr>
          <w:rFonts w:ascii="Times New Roman" w:eastAsia="Times New Roman" w:hAnsi="Times New Roman" w:cs="Times New Roman"/>
          <w:sz w:val="24"/>
          <w:szCs w:val="24"/>
          <w:lang w:eastAsia="hu-HU"/>
        </w:rPr>
        <w:t>össznévértékének</w:t>
      </w:r>
      <w:proofErr w:type="spellEnd"/>
      <w:r w:rsidRPr="00AE6F0C">
        <w:rPr>
          <w:rFonts w:ascii="Times New Roman" w:eastAsia="Times New Roman" w:hAnsi="Times New Roman" w:cs="Times New Roman"/>
          <w:sz w:val="24"/>
          <w:szCs w:val="24"/>
          <w:lang w:eastAsia="hu-HU"/>
        </w:rPr>
        <w:t xml:space="preserve"> </w:t>
      </w:r>
      <w:r w:rsidRPr="00AE6F0C">
        <w:rPr>
          <w:rFonts w:ascii="Times New Roman" w:eastAsia="Times New Roman" w:hAnsi="Times New Roman" w:cs="Times New Roman"/>
          <w:i/>
          <w:sz w:val="24"/>
          <w:szCs w:val="24"/>
          <w:lang w:eastAsia="hu-HU"/>
        </w:rPr>
        <w:t>mindenkor</w:t>
      </w:r>
      <w:r w:rsidRPr="00AE6F0C">
        <w:rPr>
          <w:rFonts w:ascii="Times New Roman" w:eastAsia="Times New Roman" w:hAnsi="Times New Roman" w:cs="Times New Roman"/>
          <w:sz w:val="24"/>
          <w:szCs w:val="24"/>
          <w:lang w:eastAsia="hu-HU"/>
        </w:rPr>
        <w:t xml:space="preserve"> meg kell haladnia az rt. alaptőkéjének felét. Az alapszabály egyébként a Ptk. 3:240. § szerint a Ptk.-ban nem nevesített részvényfajtát is szabályozhat. (ezt a lehetőséget tőkepiaci szakértők erőteljesen kifogásolják.)</w:t>
      </w:r>
    </w:p>
    <w:p w14:paraId="10DE6797"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lastRenderedPageBreak/>
        <w:t xml:space="preserve">Az alapvető </w:t>
      </w:r>
      <w:r w:rsidRPr="00AE6F0C">
        <w:rPr>
          <w:rFonts w:ascii="Times New Roman" w:eastAsia="Times New Roman" w:hAnsi="Times New Roman" w:cs="Times New Roman"/>
          <w:i/>
          <w:sz w:val="24"/>
          <w:szCs w:val="24"/>
          <w:lang w:eastAsia="hu-HU"/>
        </w:rPr>
        <w:t xml:space="preserve">elsőbbségi részvények </w:t>
      </w:r>
      <w:r w:rsidRPr="00AE6F0C">
        <w:rPr>
          <w:rFonts w:ascii="Times New Roman" w:eastAsia="Times New Roman" w:hAnsi="Times New Roman" w:cs="Times New Roman"/>
          <w:sz w:val="24"/>
          <w:szCs w:val="24"/>
          <w:lang w:eastAsia="hu-HU"/>
        </w:rPr>
        <w:t xml:space="preserve">a) a többletosztalékot biztosító </w:t>
      </w:r>
      <w:r w:rsidRPr="00AE6F0C">
        <w:rPr>
          <w:rFonts w:ascii="Times New Roman" w:eastAsia="Times New Roman" w:hAnsi="Times New Roman" w:cs="Times New Roman"/>
          <w:i/>
          <w:sz w:val="24"/>
          <w:szCs w:val="24"/>
          <w:lang w:eastAsia="hu-HU"/>
        </w:rPr>
        <w:t xml:space="preserve">osztalékelsőbbségi </w:t>
      </w:r>
      <w:r w:rsidRPr="00AE6F0C">
        <w:rPr>
          <w:rFonts w:ascii="Times New Roman" w:eastAsia="Times New Roman" w:hAnsi="Times New Roman" w:cs="Times New Roman"/>
          <w:sz w:val="24"/>
          <w:szCs w:val="24"/>
          <w:lang w:eastAsia="hu-HU"/>
        </w:rPr>
        <w:t xml:space="preserve">részvény, b) az </w:t>
      </w:r>
      <w:proofErr w:type="spellStart"/>
      <w:r w:rsidRPr="00AE6F0C">
        <w:rPr>
          <w:rFonts w:ascii="Times New Roman" w:eastAsia="Times New Roman" w:hAnsi="Times New Roman" w:cs="Times New Roman"/>
          <w:sz w:val="24"/>
          <w:szCs w:val="24"/>
          <w:lang w:eastAsia="hu-HU"/>
        </w:rPr>
        <w:t>rt</w:t>
      </w:r>
      <w:proofErr w:type="spellEnd"/>
      <w:r w:rsidRPr="00AE6F0C">
        <w:rPr>
          <w:rFonts w:ascii="Times New Roman" w:eastAsia="Times New Roman" w:hAnsi="Times New Roman" w:cs="Times New Roman"/>
          <w:sz w:val="24"/>
          <w:szCs w:val="24"/>
          <w:lang w:eastAsia="hu-HU"/>
        </w:rPr>
        <w:t xml:space="preserve">, megszűnésekor ún. </w:t>
      </w:r>
      <w:proofErr w:type="spellStart"/>
      <w:r w:rsidRPr="00AE6F0C">
        <w:rPr>
          <w:rFonts w:ascii="Times New Roman" w:eastAsia="Times New Roman" w:hAnsi="Times New Roman" w:cs="Times New Roman"/>
          <w:i/>
          <w:sz w:val="24"/>
          <w:szCs w:val="24"/>
          <w:lang w:eastAsia="hu-HU"/>
        </w:rPr>
        <w:t>likvidációs</w:t>
      </w:r>
      <w:proofErr w:type="spellEnd"/>
      <w:r w:rsidRPr="00AE6F0C">
        <w:rPr>
          <w:rFonts w:ascii="Times New Roman" w:eastAsia="Times New Roman" w:hAnsi="Times New Roman" w:cs="Times New Roman"/>
          <w:i/>
          <w:sz w:val="24"/>
          <w:szCs w:val="24"/>
          <w:lang w:eastAsia="hu-HU"/>
        </w:rPr>
        <w:t xml:space="preserve"> elsőbbséget biztosító</w:t>
      </w:r>
      <w:r w:rsidRPr="00AE6F0C">
        <w:rPr>
          <w:rFonts w:ascii="Times New Roman" w:eastAsia="Times New Roman" w:hAnsi="Times New Roman" w:cs="Times New Roman"/>
          <w:sz w:val="24"/>
          <w:szCs w:val="24"/>
          <w:lang w:eastAsia="hu-HU"/>
        </w:rPr>
        <w:t xml:space="preserve"> részvény, c) a különböző </w:t>
      </w:r>
      <w:r w:rsidRPr="00AE6F0C">
        <w:rPr>
          <w:rFonts w:ascii="Times New Roman" w:eastAsia="Times New Roman" w:hAnsi="Times New Roman" w:cs="Times New Roman"/>
          <w:i/>
          <w:sz w:val="24"/>
          <w:szCs w:val="24"/>
          <w:lang w:eastAsia="hu-HU"/>
        </w:rPr>
        <w:t>szavazatelsőbbségi</w:t>
      </w:r>
      <w:r w:rsidRPr="00AE6F0C">
        <w:rPr>
          <w:rFonts w:ascii="Times New Roman" w:eastAsia="Times New Roman" w:hAnsi="Times New Roman" w:cs="Times New Roman"/>
          <w:sz w:val="24"/>
          <w:szCs w:val="24"/>
          <w:lang w:eastAsia="hu-HU"/>
        </w:rPr>
        <w:t xml:space="preserve"> részvények (többletjogot adó részvény, vétójogot biztosító szavazatelsőbbségi részvény), d) a részvényekre </w:t>
      </w:r>
      <w:r w:rsidRPr="00AE6F0C">
        <w:rPr>
          <w:rFonts w:ascii="Times New Roman" w:eastAsia="Times New Roman" w:hAnsi="Times New Roman" w:cs="Times New Roman"/>
          <w:i/>
          <w:sz w:val="24"/>
          <w:szCs w:val="24"/>
          <w:lang w:eastAsia="hu-HU"/>
        </w:rPr>
        <w:t>elővásárlási jogot biztosító</w:t>
      </w:r>
      <w:r w:rsidRPr="00AE6F0C">
        <w:rPr>
          <w:rFonts w:ascii="Times New Roman" w:eastAsia="Times New Roman" w:hAnsi="Times New Roman" w:cs="Times New Roman"/>
          <w:sz w:val="24"/>
          <w:szCs w:val="24"/>
          <w:lang w:eastAsia="hu-HU"/>
        </w:rPr>
        <w:t xml:space="preserve"> részvény, e) </w:t>
      </w:r>
      <w:r w:rsidRPr="00AE6F0C">
        <w:rPr>
          <w:rFonts w:ascii="Times New Roman" w:eastAsia="Times New Roman" w:hAnsi="Times New Roman" w:cs="Times New Roman"/>
          <w:i/>
          <w:sz w:val="24"/>
          <w:szCs w:val="24"/>
          <w:lang w:eastAsia="hu-HU"/>
        </w:rPr>
        <w:t>vezető tisztségviselő kijelölésére jogosító</w:t>
      </w:r>
      <w:r w:rsidRPr="00AE6F0C">
        <w:rPr>
          <w:rFonts w:ascii="Times New Roman" w:eastAsia="Times New Roman" w:hAnsi="Times New Roman" w:cs="Times New Roman"/>
          <w:sz w:val="24"/>
          <w:szCs w:val="24"/>
          <w:lang w:eastAsia="hu-HU"/>
        </w:rPr>
        <w:t xml:space="preserve"> részvény. Az elsőbbségi részvény valamely többletjogot ad tulajdonosa számára, sokszor ellenszolgáltatás fejében (ld. pl. a szavazati jog nélküli osztalékelsőbbségi részvényt). Az elsőbbségi részvényfajták vegyíthetők, illetve több részvényosztályba, illetve az osztályokon belül különböző részvénysorozatokba sorolhatók.</w:t>
      </w:r>
    </w:p>
    <w:p w14:paraId="3F38C853"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leggyakoribb elsőbbségi részvény az </w:t>
      </w:r>
      <w:r w:rsidRPr="00AE6F0C">
        <w:rPr>
          <w:rFonts w:ascii="Times New Roman" w:eastAsia="Times New Roman" w:hAnsi="Times New Roman" w:cs="Times New Roman"/>
          <w:i/>
          <w:sz w:val="24"/>
          <w:szCs w:val="24"/>
          <w:lang w:eastAsia="hu-HU"/>
        </w:rPr>
        <w:t>osztalékelsőbbségi</w:t>
      </w:r>
      <w:r w:rsidRPr="00AE6F0C">
        <w:rPr>
          <w:rFonts w:ascii="Times New Roman" w:eastAsia="Times New Roman" w:hAnsi="Times New Roman" w:cs="Times New Roman"/>
          <w:sz w:val="24"/>
          <w:szCs w:val="24"/>
          <w:lang w:eastAsia="hu-HU"/>
        </w:rPr>
        <w:t xml:space="preserve"> részvény, amely az adózott eredményből a más részvényfajtába, illetve részvényosztályba sorolt részvényeknél „kedvezőbb mértékben” jogosít osztalékra.</w:t>
      </w:r>
    </w:p>
    <w:p w14:paraId="0069E209"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r w:rsidRPr="00AE6F0C">
        <w:rPr>
          <w:rFonts w:ascii="Times New Roman" w:eastAsia="Times New Roman" w:hAnsi="Times New Roman" w:cs="Times New Roman"/>
          <w:i/>
          <w:sz w:val="24"/>
          <w:szCs w:val="24"/>
          <w:lang w:eastAsia="hu-HU"/>
        </w:rPr>
        <w:t>szavazatelsőbbségi</w:t>
      </w:r>
      <w:r w:rsidRPr="00AE6F0C">
        <w:rPr>
          <w:rFonts w:ascii="Times New Roman" w:eastAsia="Times New Roman" w:hAnsi="Times New Roman" w:cs="Times New Roman"/>
          <w:sz w:val="24"/>
          <w:szCs w:val="24"/>
          <w:lang w:eastAsia="hu-HU"/>
        </w:rPr>
        <w:t xml:space="preserve"> részvény alapfajtája a többszörös szavazati jogot biztosító részvény. Ennek mértékét az új Ptk. csak nyilvánosan működő részvénytársaságoknál maximálja kötelezően: nem haladhatja meg a névértékhez igazodó szavazati jog tízszeresét. A másik szavazatelsőbbségi részvény a vétójogot biztosító részvény, amikor is csak az ilyen részvénnyel rendelkező részvényes igenlő szavazata mellett hozható meg a közgyűlési döntés az alapszabályban meghatározott kérdésekben. (Több ilyen részvényes esetén a részvényesek egyszerű többsége dönt a vétójog gyakorlása kérdésében – a többséget a névérték szerint kell számolni.) Az Unió szabályainak megfelelően eltörlésre került a magyar jogban is az ún. aranyrészvény, amely nemcsak vétójogot biztosít tulajdonosának, hanem pl. pozitív döntési jogokat is (pl. igazgatósági tag jelölése). Az aranyrészvényt az 1995-ös privatizációs törvény vezette be Magyarországon, de az Unióba való belépésünk után a 2000-es évek második felében meg kellett szüntetni.</w:t>
      </w:r>
    </w:p>
    <w:p w14:paraId="79112A7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r w:rsidRPr="00AE6F0C">
        <w:rPr>
          <w:rFonts w:ascii="Times New Roman" w:eastAsia="Times New Roman" w:hAnsi="Times New Roman" w:cs="Times New Roman"/>
          <w:i/>
          <w:sz w:val="24"/>
          <w:szCs w:val="24"/>
          <w:lang w:eastAsia="hu-HU"/>
        </w:rPr>
        <w:t>dolgozói részvény</w:t>
      </w:r>
      <w:r w:rsidRPr="00AE6F0C">
        <w:rPr>
          <w:rFonts w:ascii="Times New Roman" w:eastAsia="Times New Roman" w:hAnsi="Times New Roman" w:cs="Times New Roman"/>
          <w:sz w:val="24"/>
          <w:szCs w:val="24"/>
          <w:lang w:eastAsia="hu-HU"/>
        </w:rPr>
        <w:t xml:space="preserve"> forgalomképességében korlátozott részvény, amelyet az rt. (alapító okirata) alapszabálya rendelkezései szerint az rt. munkavállalói számára bocsátanak ki ingyenesen vagy kedvezményes áron. A dolgozói részvény a magyar gyakorlatban a privatizáció során terjedt el, jelentősége ma már csökkent. A dolgozói részvényt az rt. alaptőkéjének egyidejű felemelése mellett a felemelt alaptőke 15%-</w:t>
      </w:r>
      <w:proofErr w:type="spellStart"/>
      <w:r w:rsidRPr="00AE6F0C">
        <w:rPr>
          <w:rFonts w:ascii="Times New Roman" w:eastAsia="Times New Roman" w:hAnsi="Times New Roman" w:cs="Times New Roman"/>
          <w:sz w:val="24"/>
          <w:szCs w:val="24"/>
          <w:lang w:eastAsia="hu-HU"/>
        </w:rPr>
        <w:t>áig</w:t>
      </w:r>
      <w:proofErr w:type="spellEnd"/>
      <w:r w:rsidRPr="00AE6F0C">
        <w:rPr>
          <w:rFonts w:ascii="Times New Roman" w:eastAsia="Times New Roman" w:hAnsi="Times New Roman" w:cs="Times New Roman"/>
          <w:sz w:val="24"/>
          <w:szCs w:val="24"/>
          <w:lang w:eastAsia="hu-HU"/>
        </w:rPr>
        <w:t xml:space="preserve"> lehet forgalomba hozni. A dolgozói részvény elsőbbségi részvény is lehet. A dolgozói részvény lényege, hogy </w:t>
      </w:r>
      <w:r w:rsidRPr="00AE6F0C">
        <w:rPr>
          <w:rFonts w:ascii="Times New Roman" w:eastAsia="Times New Roman" w:hAnsi="Times New Roman" w:cs="Times New Roman"/>
          <w:i/>
          <w:sz w:val="24"/>
          <w:szCs w:val="24"/>
          <w:lang w:eastAsia="hu-HU"/>
        </w:rPr>
        <w:t>csak</w:t>
      </w:r>
      <w:r w:rsidRPr="00AE6F0C">
        <w:rPr>
          <w:rFonts w:ascii="Times New Roman" w:eastAsia="Times New Roman" w:hAnsi="Times New Roman" w:cs="Times New Roman"/>
          <w:sz w:val="24"/>
          <w:szCs w:val="24"/>
          <w:lang w:eastAsia="hu-HU"/>
        </w:rPr>
        <w:t xml:space="preserve"> a társaság munkavállalóira, illetve a korábban ott dolgozókra (pl. nyugdíjasaira) ruházható át. Ha ez az átruházás elmarad, a részvényt az rt. vagy bevonja, vagy más részvényfajtává alakítja át, illetve az rt. munkavállalója számára dolgozói részvényként értékesíti.</w:t>
      </w:r>
    </w:p>
    <w:p w14:paraId="2297F899"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r w:rsidRPr="00AE6F0C">
        <w:rPr>
          <w:rFonts w:ascii="Times New Roman" w:eastAsia="Times New Roman" w:hAnsi="Times New Roman" w:cs="Times New Roman"/>
          <w:i/>
          <w:sz w:val="24"/>
          <w:szCs w:val="24"/>
          <w:lang w:eastAsia="hu-HU"/>
        </w:rPr>
        <w:t>kamatozó részvény</w:t>
      </w:r>
      <w:r w:rsidRPr="00AE6F0C">
        <w:rPr>
          <w:rFonts w:ascii="Times New Roman" w:eastAsia="Times New Roman" w:hAnsi="Times New Roman" w:cs="Times New Roman"/>
          <w:sz w:val="24"/>
          <w:szCs w:val="24"/>
          <w:lang w:eastAsia="hu-HU"/>
        </w:rPr>
        <w:t xml:space="preserve"> az osztalék mellett az adózott jövedelemből még kamatra is jogosítja a részvényest. Kamatozó részvény csak az alaptőke 10%-át meg nem haladó mértékben hozható forgalomba. Ugyancsak az alaptőke 20%-át meg nem haladó értékben bocsátható ki olyan részvény, amelyre a társaságot vételi vagy a részvényest eladási jog illeti meg- Ez az ún. </w:t>
      </w:r>
      <w:r w:rsidRPr="00AE6F0C">
        <w:rPr>
          <w:rFonts w:ascii="Times New Roman" w:eastAsia="Times New Roman" w:hAnsi="Times New Roman" w:cs="Times New Roman"/>
          <w:i/>
          <w:sz w:val="24"/>
          <w:szCs w:val="24"/>
          <w:lang w:eastAsia="hu-HU"/>
        </w:rPr>
        <w:t>visszaválható részvény</w:t>
      </w:r>
      <w:r w:rsidRPr="00AE6F0C">
        <w:rPr>
          <w:rFonts w:ascii="Times New Roman" w:eastAsia="Times New Roman" w:hAnsi="Times New Roman" w:cs="Times New Roman"/>
          <w:sz w:val="24"/>
          <w:szCs w:val="24"/>
          <w:lang w:eastAsia="hu-HU"/>
        </w:rPr>
        <w:t>.</w:t>
      </w:r>
    </w:p>
    <w:p w14:paraId="3B28B8C2"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részvények forgalomba hozásának időpontja szerint különböztethetünk meg </w:t>
      </w:r>
      <w:r w:rsidRPr="00AE6F0C">
        <w:rPr>
          <w:rFonts w:ascii="Times New Roman" w:eastAsia="Times New Roman" w:hAnsi="Times New Roman" w:cs="Times New Roman"/>
          <w:i/>
          <w:sz w:val="24"/>
          <w:szCs w:val="24"/>
          <w:lang w:eastAsia="hu-HU"/>
        </w:rPr>
        <w:t>részvényutalványt, ideiglenes és „végleges” részvényt.</w:t>
      </w:r>
      <w:r w:rsidRPr="00AE6F0C">
        <w:rPr>
          <w:rFonts w:ascii="Times New Roman" w:eastAsia="Times New Roman" w:hAnsi="Times New Roman" w:cs="Times New Roman"/>
          <w:sz w:val="24"/>
          <w:szCs w:val="24"/>
          <w:lang w:eastAsia="hu-HU"/>
        </w:rPr>
        <w:t xml:space="preserve"> A részvényutalvány nem valós értékpapír, csak egy tanúsítvány (</w:t>
      </w:r>
      <w:proofErr w:type="spellStart"/>
      <w:r w:rsidRPr="00AE6F0C">
        <w:rPr>
          <w:rFonts w:ascii="Times New Roman" w:eastAsia="Times New Roman" w:hAnsi="Times New Roman" w:cs="Times New Roman"/>
          <w:sz w:val="24"/>
          <w:szCs w:val="24"/>
          <w:lang w:eastAsia="hu-HU"/>
        </w:rPr>
        <w:t>certificat</w:t>
      </w:r>
      <w:proofErr w:type="spellEnd"/>
      <w:r w:rsidRPr="00AE6F0C">
        <w:rPr>
          <w:rFonts w:ascii="Times New Roman" w:eastAsia="Times New Roman" w:hAnsi="Times New Roman" w:cs="Times New Roman"/>
          <w:sz w:val="24"/>
          <w:szCs w:val="24"/>
          <w:lang w:eastAsia="hu-HU"/>
        </w:rPr>
        <w:t>), amelyet a részvényes az általa befizetett vagyoni hozzájárulásról az rt. cégbejegyzése előtt kap. Ha az rt.-t már bejegyezték a cégjegyzékbe, de az rt. teljes alaptőkéjét még nem fizették ki, a részvényes által teljesített vagyoni hozzájárulásról ideiglenes részvényt kell kiállítani. A teljes alaptőke biztosítása után az ideiglenes részvény érvénytelenné válik, felváltja ugyanis a „végleges” részvény (Ptk. 3:241–3:244. §).</w:t>
      </w:r>
    </w:p>
    <w:p w14:paraId="2444C6A4"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 előállítási módja szerint hagyományos, azaz </w:t>
      </w:r>
      <w:r w:rsidRPr="00AE6F0C">
        <w:rPr>
          <w:rFonts w:ascii="Times New Roman" w:eastAsia="Times New Roman" w:hAnsi="Times New Roman" w:cs="Times New Roman"/>
          <w:i/>
          <w:sz w:val="24"/>
          <w:szCs w:val="24"/>
          <w:lang w:eastAsia="hu-HU"/>
        </w:rPr>
        <w:t>nyomdai úton előállított</w:t>
      </w:r>
      <w:r w:rsidRPr="00AE6F0C">
        <w:rPr>
          <w:rFonts w:ascii="Times New Roman" w:eastAsia="Times New Roman" w:hAnsi="Times New Roman" w:cs="Times New Roman"/>
          <w:sz w:val="24"/>
          <w:szCs w:val="24"/>
          <w:lang w:eastAsia="hu-HU"/>
        </w:rPr>
        <w:t xml:space="preserve"> okiratba foglalt részvény, illetve lényegében számítástechnikai kódot képező </w:t>
      </w:r>
      <w:proofErr w:type="spellStart"/>
      <w:r w:rsidRPr="00AE6F0C">
        <w:rPr>
          <w:rFonts w:ascii="Times New Roman" w:eastAsia="Times New Roman" w:hAnsi="Times New Roman" w:cs="Times New Roman"/>
          <w:i/>
          <w:sz w:val="24"/>
          <w:szCs w:val="24"/>
          <w:lang w:eastAsia="hu-HU"/>
        </w:rPr>
        <w:t>dematerializált</w:t>
      </w:r>
      <w:proofErr w:type="spellEnd"/>
      <w:r w:rsidRPr="00AE6F0C">
        <w:rPr>
          <w:rFonts w:ascii="Times New Roman" w:eastAsia="Times New Roman" w:hAnsi="Times New Roman" w:cs="Times New Roman"/>
          <w:sz w:val="24"/>
          <w:szCs w:val="24"/>
          <w:lang w:eastAsia="hu-HU"/>
        </w:rPr>
        <w:t xml:space="preserve"> részvény lehet. A modern értékpapírjogok kedvezményezik a nyomdai részvények </w:t>
      </w:r>
      <w:proofErr w:type="spellStart"/>
      <w:r w:rsidRPr="00AE6F0C">
        <w:rPr>
          <w:rFonts w:ascii="Times New Roman" w:eastAsia="Times New Roman" w:hAnsi="Times New Roman" w:cs="Times New Roman"/>
          <w:sz w:val="24"/>
          <w:szCs w:val="24"/>
          <w:lang w:eastAsia="hu-HU"/>
        </w:rPr>
        <w:t>dematerializált</w:t>
      </w:r>
      <w:proofErr w:type="spellEnd"/>
      <w:r w:rsidRPr="00AE6F0C">
        <w:rPr>
          <w:rFonts w:ascii="Times New Roman" w:eastAsia="Times New Roman" w:hAnsi="Times New Roman" w:cs="Times New Roman"/>
          <w:sz w:val="24"/>
          <w:szCs w:val="24"/>
          <w:lang w:eastAsia="hu-HU"/>
        </w:rPr>
        <w:t xml:space="preserve"> részvénnyé való átalakítását, de a Ptk. az ellenkező irányú átalakítást is lehetővé teszi. A </w:t>
      </w:r>
      <w:proofErr w:type="spellStart"/>
      <w:r w:rsidRPr="00AE6F0C">
        <w:rPr>
          <w:rFonts w:ascii="Times New Roman" w:eastAsia="Times New Roman" w:hAnsi="Times New Roman" w:cs="Times New Roman"/>
          <w:sz w:val="24"/>
          <w:szCs w:val="24"/>
          <w:lang w:eastAsia="hu-HU"/>
        </w:rPr>
        <w:t>dematerializált</w:t>
      </w:r>
      <w:proofErr w:type="spellEnd"/>
      <w:r w:rsidRPr="00AE6F0C">
        <w:rPr>
          <w:rFonts w:ascii="Times New Roman" w:eastAsia="Times New Roman" w:hAnsi="Times New Roman" w:cs="Times New Roman"/>
          <w:sz w:val="24"/>
          <w:szCs w:val="24"/>
          <w:lang w:eastAsia="hu-HU"/>
        </w:rPr>
        <w:t xml:space="preserve"> részvényt értékpapírszámlán értékpapír-kereskedő (bróker) </w:t>
      </w:r>
      <w:r w:rsidRPr="00AE6F0C">
        <w:rPr>
          <w:rFonts w:ascii="Times New Roman" w:eastAsia="Times New Roman" w:hAnsi="Times New Roman" w:cs="Times New Roman"/>
          <w:sz w:val="24"/>
          <w:szCs w:val="24"/>
          <w:lang w:eastAsia="hu-HU"/>
        </w:rPr>
        <w:lastRenderedPageBreak/>
        <w:t xml:space="preserve">közreműködésével a központi értéktárban kell elhelyezni. A </w:t>
      </w:r>
      <w:proofErr w:type="spellStart"/>
      <w:r w:rsidRPr="00AE6F0C">
        <w:rPr>
          <w:rFonts w:ascii="Times New Roman" w:eastAsia="Times New Roman" w:hAnsi="Times New Roman" w:cs="Times New Roman"/>
          <w:sz w:val="24"/>
          <w:szCs w:val="24"/>
          <w:lang w:eastAsia="hu-HU"/>
        </w:rPr>
        <w:t>dematerializált</w:t>
      </w:r>
      <w:proofErr w:type="spellEnd"/>
      <w:r w:rsidRPr="00AE6F0C">
        <w:rPr>
          <w:rFonts w:ascii="Times New Roman" w:eastAsia="Times New Roman" w:hAnsi="Times New Roman" w:cs="Times New Roman"/>
          <w:sz w:val="24"/>
          <w:szCs w:val="24"/>
          <w:lang w:eastAsia="hu-HU"/>
        </w:rPr>
        <w:t xml:space="preserve"> részvény átruházása a számlán való jóváírással történik.</w:t>
      </w:r>
    </w:p>
    <w:p w14:paraId="7D854516"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részvények egészen sajátos csoportja az ún</w:t>
      </w:r>
      <w:r w:rsidRPr="00AE6F0C">
        <w:rPr>
          <w:rFonts w:ascii="Times New Roman" w:eastAsia="Times New Roman" w:hAnsi="Times New Roman" w:cs="Times New Roman"/>
          <w:i/>
          <w:sz w:val="24"/>
          <w:szCs w:val="24"/>
          <w:lang w:eastAsia="hu-HU"/>
        </w:rPr>
        <w:t xml:space="preserve">. saját részvény, </w:t>
      </w:r>
      <w:r w:rsidRPr="00AE6F0C">
        <w:rPr>
          <w:rFonts w:ascii="Times New Roman" w:eastAsia="Times New Roman" w:hAnsi="Times New Roman" w:cs="Times New Roman"/>
          <w:sz w:val="24"/>
          <w:szCs w:val="24"/>
          <w:lang w:eastAsia="hu-HU"/>
        </w:rPr>
        <w:t xml:space="preserve">tehát amikor az rt. saját részvényeinek tulajdonosa lesz (Ptk. 3:222–3:226. §). Ezt a lehetőséget a modern részvényjogok biztosítják ugyan, de korlátozzák is. A Ptk. szerint az rt. alaptőkéje feletti vagyonából az alaptőke 25%-a erejéig szerezhet saját részvényt, de a Gt. az rt.-nek a leányvállalatainál lévő részvényeit is bevonta a saját részvények körébe. Leányvállalatnak minősül az rt. közvetlen vagy közvetett befolyása alatt álló jogi személy – a befolyás fogalmát a Ptk. 8:2. §-a határozza meg. Saját részvény megszerzésére általában csak közgyűlési határozat alapján kerülhet sor, de bizonyos esetekben felhatalmazást lehet erre adni az igazgatóságnak is. A saját részvénnyel szavazati jogot nem lehet gyakorolni, </w:t>
      </w:r>
      <w:proofErr w:type="spellStart"/>
      <w:r w:rsidRPr="00AE6F0C">
        <w:rPr>
          <w:rFonts w:ascii="Times New Roman" w:eastAsia="Times New Roman" w:hAnsi="Times New Roman" w:cs="Times New Roman"/>
          <w:sz w:val="24"/>
          <w:szCs w:val="24"/>
          <w:lang w:eastAsia="hu-HU"/>
        </w:rPr>
        <w:t>osztaléka</w:t>
      </w:r>
      <w:proofErr w:type="spellEnd"/>
      <w:r w:rsidRPr="00AE6F0C">
        <w:rPr>
          <w:rFonts w:ascii="Times New Roman" w:eastAsia="Times New Roman" w:hAnsi="Times New Roman" w:cs="Times New Roman"/>
          <w:sz w:val="24"/>
          <w:szCs w:val="24"/>
          <w:lang w:eastAsia="hu-HU"/>
        </w:rPr>
        <w:t xml:space="preserve"> megoszlik a többi részvényes között. A Ptk. a saját részvényre vonatkozó szabályokat általánosan kötelezővé teszi, ezektől tehát az alapszabályban eltérni nem lehet.</w:t>
      </w:r>
    </w:p>
    <w:p w14:paraId="7CB85014"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részvények osztályozása körében említendő meg a részvénnyé </w:t>
      </w:r>
      <w:r w:rsidRPr="00AE6F0C">
        <w:rPr>
          <w:rFonts w:ascii="Times New Roman" w:eastAsia="Times New Roman" w:hAnsi="Times New Roman" w:cs="Times New Roman"/>
          <w:i/>
          <w:sz w:val="24"/>
          <w:szCs w:val="24"/>
          <w:lang w:eastAsia="hu-HU"/>
        </w:rPr>
        <w:t>átváltoztatható,</w:t>
      </w:r>
      <w:r w:rsidRPr="00AE6F0C">
        <w:rPr>
          <w:rFonts w:ascii="Times New Roman" w:eastAsia="Times New Roman" w:hAnsi="Times New Roman" w:cs="Times New Roman"/>
          <w:sz w:val="24"/>
          <w:szCs w:val="24"/>
          <w:lang w:eastAsia="hu-HU"/>
        </w:rPr>
        <w:t xml:space="preserve"> illetve </w:t>
      </w:r>
      <w:r w:rsidRPr="00AE6F0C">
        <w:rPr>
          <w:rFonts w:ascii="Times New Roman" w:eastAsia="Times New Roman" w:hAnsi="Times New Roman" w:cs="Times New Roman"/>
          <w:i/>
          <w:sz w:val="24"/>
          <w:szCs w:val="24"/>
          <w:lang w:eastAsia="hu-HU"/>
        </w:rPr>
        <w:t xml:space="preserve">részvényjegyzési jogot biztosító kötvény </w:t>
      </w:r>
      <w:r w:rsidRPr="00AE6F0C">
        <w:rPr>
          <w:rFonts w:ascii="Times New Roman" w:eastAsia="Times New Roman" w:hAnsi="Times New Roman" w:cs="Times New Roman"/>
          <w:sz w:val="24"/>
          <w:szCs w:val="24"/>
          <w:lang w:eastAsia="hu-HU"/>
        </w:rPr>
        <w:t>is. Ezek olyan kötvények, amelyek – bizonyos feltételek mellett – részvénnyé alakíthatók.</w:t>
      </w:r>
    </w:p>
    <w:p w14:paraId="45E50F78"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részvények </w:t>
      </w:r>
      <w:r w:rsidRPr="00AE6F0C">
        <w:rPr>
          <w:rFonts w:ascii="Times New Roman" w:eastAsia="Times New Roman" w:hAnsi="Times New Roman" w:cs="Times New Roman"/>
          <w:i/>
          <w:sz w:val="24"/>
          <w:szCs w:val="24"/>
          <w:lang w:eastAsia="hu-HU"/>
        </w:rPr>
        <w:t>összevont címletben</w:t>
      </w:r>
      <w:r w:rsidRPr="00AE6F0C">
        <w:rPr>
          <w:rFonts w:ascii="Times New Roman" w:eastAsia="Times New Roman" w:hAnsi="Times New Roman" w:cs="Times New Roman"/>
          <w:sz w:val="24"/>
          <w:szCs w:val="24"/>
          <w:lang w:eastAsia="hu-HU"/>
        </w:rPr>
        <w:t xml:space="preserve"> is kibocsáthatók.</w:t>
      </w:r>
    </w:p>
    <w:p w14:paraId="7F8F4056"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zártkörűen működő részvénytársaság körében </w:t>
      </w:r>
      <w:r w:rsidRPr="00AE6F0C">
        <w:rPr>
          <w:rFonts w:ascii="Times New Roman" w:eastAsia="Times New Roman" w:hAnsi="Times New Roman" w:cs="Times New Roman"/>
          <w:i/>
          <w:sz w:val="24"/>
          <w:szCs w:val="24"/>
          <w:lang w:eastAsia="hu-HU"/>
        </w:rPr>
        <w:t>nemcsak törvény, de alapszabály is korlátozhatja a részvények átruházás útján</w:t>
      </w:r>
      <w:r w:rsidRPr="00AE6F0C">
        <w:rPr>
          <w:rFonts w:ascii="Times New Roman" w:eastAsia="Times New Roman" w:hAnsi="Times New Roman" w:cs="Times New Roman"/>
          <w:sz w:val="24"/>
          <w:szCs w:val="24"/>
          <w:lang w:eastAsia="hu-HU"/>
        </w:rPr>
        <w:t xml:space="preserve"> való megszerzését, így pl. előírhatja, hogy a részvények átruházásához az igazgatóság beleegyezésére van szükség. E korlátozások harmadik személyekkel szemben akkor hatályosak, ha a korlátozás a részvényből, illetve </w:t>
      </w:r>
      <w:proofErr w:type="spellStart"/>
      <w:r w:rsidRPr="00AE6F0C">
        <w:rPr>
          <w:rFonts w:ascii="Times New Roman" w:eastAsia="Times New Roman" w:hAnsi="Times New Roman" w:cs="Times New Roman"/>
          <w:sz w:val="24"/>
          <w:szCs w:val="24"/>
          <w:lang w:eastAsia="hu-HU"/>
        </w:rPr>
        <w:t>dematerializált</w:t>
      </w:r>
      <w:proofErr w:type="spellEnd"/>
      <w:r w:rsidRPr="00AE6F0C">
        <w:rPr>
          <w:rFonts w:ascii="Times New Roman" w:eastAsia="Times New Roman" w:hAnsi="Times New Roman" w:cs="Times New Roman"/>
          <w:sz w:val="24"/>
          <w:szCs w:val="24"/>
          <w:lang w:eastAsia="hu-HU"/>
        </w:rPr>
        <w:t xml:space="preserve"> részvény esetén az értékpapírszámlából kitűnik. Ugyanez a helyzet akkor is, ha a részvényre elővásárlási, visszavásárlási vagy eladási, illetve vételi jogot (ún. opció) kötöttek ki.</w:t>
      </w:r>
    </w:p>
    <w:p w14:paraId="35A429F7"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rt. igazgatósága a részvényesekről </w:t>
      </w:r>
      <w:r w:rsidRPr="00AE6F0C">
        <w:rPr>
          <w:rFonts w:ascii="Times New Roman" w:eastAsia="Times New Roman" w:hAnsi="Times New Roman" w:cs="Times New Roman"/>
          <w:i/>
          <w:sz w:val="24"/>
          <w:szCs w:val="24"/>
          <w:lang w:eastAsia="hu-HU"/>
        </w:rPr>
        <w:t>részvénykönyvet</w:t>
      </w:r>
      <w:r w:rsidRPr="00AE6F0C">
        <w:rPr>
          <w:rFonts w:ascii="Times New Roman" w:eastAsia="Times New Roman" w:hAnsi="Times New Roman" w:cs="Times New Roman"/>
          <w:sz w:val="24"/>
          <w:szCs w:val="24"/>
          <w:lang w:eastAsia="hu-HU"/>
        </w:rPr>
        <w:t xml:space="preserve"> vezet, melyben nyilvántartja a részvényesek nevét és más személyes adatait, valamint részvénysorozatonként a részvények darabszámát. A részvényes az rt.-vel szemben részvényesi jogokat akkor gyakorolhat, ha a részvénykönyvbe bejegyezték. A bejegyzés csak akkor tagadható meg, ha a bejegyzést kérő a részvényt jogellenesen szerezte meg. Az igazgatóság bejegyzést megtagadó határozatát az érintett részvényes bíróság előtt megtámadhatja. A részvénykönyv nyilvános, abba bárki beletekinthet.</w:t>
      </w:r>
    </w:p>
    <w:p w14:paraId="75EAB2FB" w14:textId="77777777" w:rsidR="008D37AD" w:rsidRPr="00AE6F0C" w:rsidRDefault="008D37AD" w:rsidP="00EC10C5">
      <w:pPr>
        <w:spacing w:after="60" w:line="240" w:lineRule="auto"/>
        <w:ind w:firstLine="709"/>
        <w:jc w:val="both"/>
        <w:rPr>
          <w:rFonts w:ascii="Times New Roman" w:eastAsia="Times New Roman" w:hAnsi="Times New Roman" w:cs="Times New Roman"/>
          <w:sz w:val="24"/>
          <w:szCs w:val="24"/>
          <w:lang w:eastAsia="hu-HU"/>
        </w:rPr>
      </w:pPr>
    </w:p>
    <w:p w14:paraId="47E1479C" w14:textId="77777777" w:rsidR="00405F24" w:rsidRPr="00AE6F0C" w:rsidRDefault="008D37AD" w:rsidP="00EC10C5">
      <w:pPr>
        <w:pStyle w:val="Stlus3"/>
      </w:pPr>
      <w:bookmarkStart w:id="372" w:name="_Toc2761147"/>
      <w:bookmarkStart w:id="373" w:name="_Toc13141291"/>
      <w:r>
        <w:t>F</w:t>
      </w:r>
      <w:r w:rsidR="00405F24" w:rsidRPr="00AE6F0C">
        <w:t>.2.3. Az rt. alapszabálya</w:t>
      </w:r>
      <w:bookmarkEnd w:id="372"/>
      <w:bookmarkEnd w:id="373"/>
    </w:p>
    <w:p w14:paraId="28851266"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részvénytársaság létesítő okirata az </w:t>
      </w:r>
      <w:r w:rsidRPr="00AE6F0C">
        <w:rPr>
          <w:rFonts w:ascii="Times New Roman" w:eastAsia="Times New Roman" w:hAnsi="Times New Roman" w:cs="Times New Roman"/>
          <w:i/>
          <w:sz w:val="24"/>
          <w:szCs w:val="24"/>
          <w:lang w:eastAsia="hu-HU"/>
        </w:rPr>
        <w:t>alapszabály,</w:t>
      </w:r>
      <w:r w:rsidRPr="00AE6F0C">
        <w:rPr>
          <w:rFonts w:ascii="Times New Roman" w:eastAsia="Times New Roman" w:hAnsi="Times New Roman" w:cs="Times New Roman"/>
          <w:sz w:val="24"/>
          <w:szCs w:val="24"/>
          <w:lang w:eastAsia="hu-HU"/>
        </w:rPr>
        <w:t xml:space="preserve"> amely a jogi személyek általános szabályain túlmenően a Ptk. 3:250. § alapján számos speciális kelléke van. Mivel </w:t>
      </w:r>
      <w:proofErr w:type="spellStart"/>
      <w:r w:rsidRPr="00AE6F0C">
        <w:rPr>
          <w:rFonts w:ascii="Times New Roman" w:eastAsia="Times New Roman" w:hAnsi="Times New Roman" w:cs="Times New Roman"/>
          <w:sz w:val="24"/>
          <w:szCs w:val="24"/>
          <w:lang w:eastAsia="hu-HU"/>
        </w:rPr>
        <w:t>uárt</w:t>
      </w:r>
      <w:proofErr w:type="spellEnd"/>
      <w:r w:rsidRPr="00AE6F0C">
        <w:rPr>
          <w:rFonts w:ascii="Times New Roman" w:eastAsia="Times New Roman" w:hAnsi="Times New Roman" w:cs="Times New Roman"/>
          <w:sz w:val="24"/>
          <w:szCs w:val="24"/>
          <w:lang w:eastAsia="hu-HU"/>
        </w:rPr>
        <w:t xml:space="preserve"> alapításnál nincs alakuló közgyűlés, illetve részvényjegyzés, az alapszabálynak tartalmaznia kell az alapítók nyilatkozatát az összes részvény átvételéről és a részvényesek közti megoszlásáról, emellett rendezni kell az egyes részvényfajtákhoz, részvényosztályokhoz és részvénysorozatokhoz fűződő jogokat.</w:t>
      </w:r>
    </w:p>
    <w:p w14:paraId="141FAE05"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Ptk. visszaállította azt a korábbi szabályt, hogy a részvényesek pénzbeli hozzájárulása nem lehet kevesebb alapításkor (később lehet!), mint az alaptőke 30%-a. Az apportot, amennyiben mértéke az alaptőke 25%-</w:t>
      </w:r>
      <w:proofErr w:type="spellStart"/>
      <w:r w:rsidRPr="00AE6F0C">
        <w:rPr>
          <w:rFonts w:ascii="Times New Roman" w:eastAsia="Times New Roman" w:hAnsi="Times New Roman" w:cs="Times New Roman"/>
          <w:sz w:val="24"/>
          <w:szCs w:val="24"/>
          <w:lang w:eastAsia="hu-HU"/>
        </w:rPr>
        <w:t>ánál</w:t>
      </w:r>
      <w:proofErr w:type="spellEnd"/>
      <w:r w:rsidRPr="00AE6F0C">
        <w:rPr>
          <w:rFonts w:ascii="Times New Roman" w:eastAsia="Times New Roman" w:hAnsi="Times New Roman" w:cs="Times New Roman"/>
          <w:sz w:val="24"/>
          <w:szCs w:val="24"/>
          <w:lang w:eastAsia="hu-HU"/>
        </w:rPr>
        <w:t xml:space="preserve"> nagyobb, alapításkor az rt. rendelkezésre kell bocsátani. A pénzbeli hozzájárulásnak csak 25%-t kell alapításkor a részvényesnek befizetnie, a hátralékot az rt. cégbejegyzését követő egy éven belül kell teljesíteni. E szabályoktól való eltérés semmis. Az apport értékét külön könyvvizsgálóval (pénzügyi szakértővel) ellenőriztetni kell.</w:t>
      </w:r>
    </w:p>
    <w:p w14:paraId="1E63BCED"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lastRenderedPageBreak/>
        <w:t xml:space="preserve">A részvény </w:t>
      </w:r>
      <w:r w:rsidRPr="00AE6F0C">
        <w:rPr>
          <w:rFonts w:ascii="Times New Roman" w:eastAsia="Times New Roman" w:hAnsi="Times New Roman" w:cs="Times New Roman"/>
          <w:i/>
          <w:sz w:val="24"/>
          <w:szCs w:val="24"/>
          <w:lang w:eastAsia="hu-HU"/>
        </w:rPr>
        <w:t>névérték alatti kibocsátása semmis</w:t>
      </w:r>
      <w:r w:rsidRPr="00AE6F0C">
        <w:rPr>
          <w:rFonts w:ascii="Times New Roman" w:eastAsia="Times New Roman" w:hAnsi="Times New Roman" w:cs="Times New Roman"/>
          <w:sz w:val="24"/>
          <w:szCs w:val="24"/>
          <w:lang w:eastAsia="hu-HU"/>
        </w:rPr>
        <w:t xml:space="preserve">, a kibocsátási érték viszont magasabb lehet a névértéknél. A részvény névértéke meghatározható az alaptőke mindenkori összege hányadában – ez estben beszélünk </w:t>
      </w:r>
      <w:r w:rsidRPr="00AE6F0C">
        <w:rPr>
          <w:rFonts w:ascii="Times New Roman" w:eastAsia="Times New Roman" w:hAnsi="Times New Roman" w:cs="Times New Roman"/>
          <w:i/>
          <w:sz w:val="24"/>
          <w:szCs w:val="24"/>
          <w:lang w:eastAsia="hu-HU"/>
        </w:rPr>
        <w:t>hányadrészvényről</w:t>
      </w:r>
      <w:r w:rsidRPr="00AE6F0C">
        <w:rPr>
          <w:rFonts w:ascii="Times New Roman" w:eastAsia="Times New Roman" w:hAnsi="Times New Roman" w:cs="Times New Roman"/>
          <w:sz w:val="24"/>
          <w:szCs w:val="24"/>
          <w:lang w:eastAsia="hu-HU"/>
        </w:rPr>
        <w:t>.</w:t>
      </w:r>
    </w:p>
    <w:p w14:paraId="73539208" w14:textId="77777777" w:rsidR="008D37AD" w:rsidRPr="00AE6F0C" w:rsidRDefault="008D37AD" w:rsidP="00EC10C5">
      <w:pPr>
        <w:spacing w:after="60" w:line="240" w:lineRule="auto"/>
        <w:ind w:firstLine="709"/>
        <w:jc w:val="both"/>
        <w:rPr>
          <w:rFonts w:ascii="Times New Roman" w:eastAsia="Times New Roman" w:hAnsi="Times New Roman" w:cs="Times New Roman"/>
          <w:sz w:val="24"/>
          <w:szCs w:val="24"/>
          <w:lang w:eastAsia="hu-HU"/>
        </w:rPr>
      </w:pPr>
    </w:p>
    <w:p w14:paraId="6816371D" w14:textId="77777777" w:rsidR="00405F24" w:rsidRPr="00AE6F0C" w:rsidRDefault="008D37AD" w:rsidP="00EC10C5">
      <w:pPr>
        <w:pStyle w:val="Stlus3"/>
      </w:pPr>
      <w:bookmarkStart w:id="374" w:name="_Toc2761148"/>
      <w:bookmarkStart w:id="375" w:name="_Toc13141292"/>
      <w:r>
        <w:t>F</w:t>
      </w:r>
      <w:r w:rsidR="00405F24" w:rsidRPr="00AE6F0C">
        <w:t>.2.4. Részvényesi jogok és kötelezettségek</w:t>
      </w:r>
      <w:bookmarkEnd w:id="374"/>
      <w:bookmarkEnd w:id="375"/>
    </w:p>
    <w:p w14:paraId="374D3744"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részvényesi minőség meghatározott tagsági és vagyoni jogokkal és kötelezettségekkel jár. Alapvető szabály a részvényesi jogok gyakorlásával kapcsolatban, hogy az azonos részvénysorozatba tartozó részvényekkel rendelkező részvényesek között </w:t>
      </w:r>
      <w:proofErr w:type="spellStart"/>
      <w:r w:rsidRPr="00AE6F0C">
        <w:rPr>
          <w:rFonts w:ascii="Times New Roman" w:eastAsia="Times New Roman" w:hAnsi="Times New Roman" w:cs="Times New Roman"/>
          <w:sz w:val="24"/>
          <w:szCs w:val="24"/>
          <w:lang w:eastAsia="hu-HU"/>
        </w:rPr>
        <w:t>bármifajta</w:t>
      </w:r>
      <w:proofErr w:type="spellEnd"/>
      <w:r w:rsidRPr="00AE6F0C">
        <w:rPr>
          <w:rFonts w:ascii="Times New Roman" w:eastAsia="Times New Roman" w:hAnsi="Times New Roman" w:cs="Times New Roman"/>
          <w:sz w:val="24"/>
          <w:szCs w:val="24"/>
          <w:lang w:eastAsia="hu-HU"/>
        </w:rPr>
        <w:t xml:space="preserve"> hátrányos megkülönböztetés tilos (diszkriminációs tilalom – Ptk. 3:253. §).</w:t>
      </w:r>
    </w:p>
    <w:p w14:paraId="284DFC7A"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részvénytársaság </w:t>
      </w:r>
      <w:r w:rsidRPr="00AE6F0C">
        <w:rPr>
          <w:rFonts w:ascii="Times New Roman" w:eastAsia="Times New Roman" w:hAnsi="Times New Roman" w:cs="Times New Roman"/>
          <w:i/>
          <w:sz w:val="24"/>
          <w:szCs w:val="24"/>
          <w:lang w:eastAsia="hu-HU"/>
        </w:rPr>
        <w:t>tőketársaság</w:t>
      </w:r>
      <w:r w:rsidRPr="00AE6F0C">
        <w:rPr>
          <w:rFonts w:ascii="Times New Roman" w:eastAsia="Times New Roman" w:hAnsi="Times New Roman" w:cs="Times New Roman"/>
          <w:sz w:val="24"/>
          <w:szCs w:val="24"/>
          <w:lang w:eastAsia="hu-HU"/>
        </w:rPr>
        <w:t xml:space="preserve">. A részvényes alapvető kötelezettsége ezért részvénye névértéke (kibocsátási értéke) befizetése. A részvényes alapvető joga is vagyoni – a részvényest az rt. adózott eredményéből </w:t>
      </w:r>
      <w:r w:rsidRPr="00AE6F0C">
        <w:rPr>
          <w:rFonts w:ascii="Times New Roman" w:eastAsia="Times New Roman" w:hAnsi="Times New Roman" w:cs="Times New Roman"/>
          <w:i/>
          <w:sz w:val="24"/>
          <w:szCs w:val="24"/>
          <w:lang w:eastAsia="hu-HU"/>
        </w:rPr>
        <w:t>osztalék</w:t>
      </w:r>
      <w:r w:rsidRPr="00AE6F0C">
        <w:rPr>
          <w:rFonts w:ascii="Times New Roman" w:eastAsia="Times New Roman" w:hAnsi="Times New Roman" w:cs="Times New Roman"/>
          <w:sz w:val="24"/>
          <w:szCs w:val="24"/>
          <w:lang w:eastAsia="hu-HU"/>
        </w:rPr>
        <w:t xml:space="preserve"> illeti meg. A Ptk. részletesen szabályozza az osztalék megállapításának és kifizetésének módját. Az osztalék, illetve osztalékelőleg, továbbá a részvényes részére való bármilyen kifizetésre szigorú szabályok kerültek megállapításra, hiszen az rt. vagyoni biztonságát meg kell őrizni. A részvényesek javára kedvezőbb feltételek megállapítását a Ptk. hitelezővédelmi okokból semmisnek nyilvánítja.</w:t>
      </w:r>
    </w:p>
    <w:p w14:paraId="52DBA6D1"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részvényeseknek emellett ún. </w:t>
      </w:r>
      <w:r w:rsidRPr="00AE6F0C">
        <w:rPr>
          <w:rFonts w:ascii="Times New Roman" w:eastAsia="Times New Roman" w:hAnsi="Times New Roman" w:cs="Times New Roman"/>
          <w:i/>
          <w:sz w:val="24"/>
          <w:szCs w:val="24"/>
          <w:lang w:eastAsia="hu-HU"/>
        </w:rPr>
        <w:t>személyi jogai</w:t>
      </w:r>
      <w:r w:rsidRPr="00AE6F0C">
        <w:rPr>
          <w:rFonts w:ascii="Times New Roman" w:eastAsia="Times New Roman" w:hAnsi="Times New Roman" w:cs="Times New Roman"/>
          <w:sz w:val="24"/>
          <w:szCs w:val="24"/>
          <w:lang w:eastAsia="hu-HU"/>
        </w:rPr>
        <w:t xml:space="preserve"> is vannak. A részvénytársaság jellegzetessége, hogy ezek a személyes jogok zömmel </w:t>
      </w:r>
      <w:r w:rsidRPr="00AE6F0C">
        <w:rPr>
          <w:rFonts w:ascii="Times New Roman" w:eastAsia="Times New Roman" w:hAnsi="Times New Roman" w:cs="Times New Roman"/>
          <w:i/>
          <w:sz w:val="24"/>
          <w:szCs w:val="24"/>
          <w:lang w:eastAsia="hu-HU"/>
        </w:rPr>
        <w:t>közgyűlési jogok,</w:t>
      </w:r>
      <w:r w:rsidRPr="00AE6F0C">
        <w:rPr>
          <w:rFonts w:ascii="Times New Roman" w:eastAsia="Times New Roman" w:hAnsi="Times New Roman" w:cs="Times New Roman"/>
          <w:sz w:val="24"/>
          <w:szCs w:val="24"/>
          <w:lang w:eastAsia="hu-HU"/>
        </w:rPr>
        <w:t xml:space="preserve"> tehát az rt. közgyűlésén lehet, illetve kell ezeket gyakorolni. Minden részvényes jogosult a közgyűlésen részt venni, ott felszólalni, felvilágosítást kérni, észrevételt és indítvány tenni – mégpedig akkor is, ha a részvényéhez nem fűződik szavazati jog. A döntésekben való részvételt a szavazati jog testesíti meg, amely – most az esetleges elsőbbségi részvényt figyelmen kívül hagyva – a részvény névértékéhez igazodik.</w:t>
      </w:r>
    </w:p>
    <w:p w14:paraId="4F9B793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részvényes a közgyűlésen köteles részvényesi minőségét igazolni. A részvényest képviselő is képviselheti a közgyűlésen, így a részvényes képviseletére általános jelleggel részvényesi meghatalmazottat jelölhet ki.</w:t>
      </w:r>
    </w:p>
    <w:p w14:paraId="1A8706C8"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Gt. a kft.-</w:t>
      </w:r>
      <w:proofErr w:type="spellStart"/>
      <w:r w:rsidRPr="00AE6F0C">
        <w:rPr>
          <w:rFonts w:ascii="Times New Roman" w:eastAsia="Times New Roman" w:hAnsi="Times New Roman" w:cs="Times New Roman"/>
          <w:sz w:val="24"/>
          <w:szCs w:val="24"/>
          <w:lang w:eastAsia="hu-HU"/>
        </w:rPr>
        <w:t>hez</w:t>
      </w:r>
      <w:proofErr w:type="spellEnd"/>
      <w:r w:rsidRPr="00AE6F0C">
        <w:rPr>
          <w:rFonts w:ascii="Times New Roman" w:eastAsia="Times New Roman" w:hAnsi="Times New Roman" w:cs="Times New Roman"/>
          <w:sz w:val="24"/>
          <w:szCs w:val="24"/>
          <w:lang w:eastAsia="hu-HU"/>
        </w:rPr>
        <w:t xml:space="preserve"> viszonyítva jóval részletesebben foglalkozott az rt.-nél </w:t>
      </w:r>
      <w:proofErr w:type="gramStart"/>
      <w:r w:rsidRPr="00AE6F0C">
        <w:rPr>
          <w:rFonts w:ascii="Times New Roman" w:eastAsia="Times New Roman" w:hAnsi="Times New Roman" w:cs="Times New Roman"/>
          <w:sz w:val="24"/>
          <w:szCs w:val="24"/>
          <w:lang w:eastAsia="hu-HU"/>
        </w:rPr>
        <w:t>a</w:t>
      </w:r>
      <w:proofErr w:type="gramEnd"/>
      <w:r w:rsidRPr="00AE6F0C">
        <w:rPr>
          <w:rFonts w:ascii="Times New Roman" w:eastAsia="Times New Roman" w:hAnsi="Times New Roman" w:cs="Times New Roman"/>
          <w:sz w:val="24"/>
          <w:szCs w:val="24"/>
          <w:lang w:eastAsia="hu-HU"/>
        </w:rPr>
        <w:t xml:space="preserve"> alaptőke felemelésével (annak különböző módjaival – pl. feltételes alaptőke-emelés) és leszállításával. Emellett még néhány külön szabályt tartalmazott, az rt. jogutód nélküli megszűnésével és átalakulásával kapcsolatban, majd – éppúgy, mint a kft.-nél – az egyszemélyes részvénytársaságra állapított meg néhány külön rendelkezést. Egyszemélyes rt. a dolog természeténél fogva csak zártkörűen működhet (Ptk. 3:323. §) és saját részvényt nem szerezhet. A minősített többséggel járó többlet követelményeket az egyszemélyes rt.-re is alkalmazni kell, tehát felszámolás esetén a ki nem elégített követelésekért az egyedüli részvényes helytállni köteles a konszernjogi szabályok szerint.</w:t>
      </w:r>
    </w:p>
    <w:p w14:paraId="491BF688" w14:textId="77777777" w:rsidR="008D37AD" w:rsidRPr="00AE6F0C" w:rsidRDefault="008D37AD" w:rsidP="00EC10C5">
      <w:pPr>
        <w:spacing w:after="60" w:line="240" w:lineRule="auto"/>
        <w:ind w:firstLine="709"/>
        <w:jc w:val="both"/>
        <w:rPr>
          <w:rFonts w:ascii="Times New Roman" w:eastAsia="Times New Roman" w:hAnsi="Times New Roman" w:cs="Times New Roman"/>
          <w:sz w:val="24"/>
          <w:szCs w:val="24"/>
          <w:lang w:eastAsia="hu-HU"/>
        </w:rPr>
      </w:pPr>
    </w:p>
    <w:p w14:paraId="50CD8B02" w14:textId="77777777" w:rsidR="00405F24" w:rsidRPr="00AE6F0C" w:rsidRDefault="008D37AD" w:rsidP="00EC10C5">
      <w:pPr>
        <w:pStyle w:val="Stlus3"/>
      </w:pPr>
      <w:bookmarkStart w:id="376" w:name="_Toc2761149"/>
      <w:bookmarkStart w:id="377" w:name="_Toc13141293"/>
      <w:r>
        <w:t>F</w:t>
      </w:r>
      <w:r w:rsidR="00405F24" w:rsidRPr="00AE6F0C">
        <w:t>.2.5. Az rt. belső szervezete</w:t>
      </w:r>
      <w:bookmarkEnd w:id="376"/>
      <w:bookmarkEnd w:id="377"/>
    </w:p>
    <w:p w14:paraId="785AB021"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rt. legfőbb szerve a valamennyi igazolt részvényesből (képviselőkből) álló </w:t>
      </w:r>
      <w:r w:rsidRPr="00AE6F0C">
        <w:rPr>
          <w:rFonts w:ascii="Times New Roman" w:eastAsia="Times New Roman" w:hAnsi="Times New Roman" w:cs="Times New Roman"/>
          <w:i/>
          <w:sz w:val="24"/>
          <w:szCs w:val="24"/>
          <w:lang w:eastAsia="hu-HU"/>
        </w:rPr>
        <w:t>közgyűlés</w:t>
      </w:r>
      <w:r w:rsidRPr="00AE6F0C">
        <w:rPr>
          <w:rFonts w:ascii="Times New Roman" w:eastAsia="Times New Roman" w:hAnsi="Times New Roman" w:cs="Times New Roman"/>
          <w:sz w:val="24"/>
          <w:szCs w:val="24"/>
          <w:lang w:eastAsia="hu-HU"/>
        </w:rPr>
        <w:t>. A Gt. részletesen szabályozza a közgyűlés hatáskörét, összehívási rendjét (évente legalább egy rendes közgyűlés, rendkívüli közgyűlés összehívásának lehetőségei) a közgyűlés előkészítésével összefüggő teendőket, a határozatképességet és a határozatok meghozatalának rendjét, a közgyűlési jegyzőkönyvet, a folytatólagos, illetve megismételt közgyűlést stb.</w:t>
      </w:r>
    </w:p>
    <w:p w14:paraId="4A23CB1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w:t>
      </w:r>
      <w:r w:rsidRPr="00AE6F0C">
        <w:rPr>
          <w:rFonts w:ascii="Times New Roman" w:eastAsia="Times New Roman" w:hAnsi="Times New Roman" w:cs="Times New Roman"/>
          <w:i/>
          <w:sz w:val="24"/>
          <w:szCs w:val="24"/>
          <w:lang w:eastAsia="hu-HU"/>
        </w:rPr>
        <w:t>közgyűlés összehívására</w:t>
      </w:r>
      <w:r w:rsidRPr="00AE6F0C">
        <w:rPr>
          <w:rFonts w:ascii="Times New Roman" w:eastAsia="Times New Roman" w:hAnsi="Times New Roman" w:cs="Times New Roman"/>
          <w:sz w:val="24"/>
          <w:szCs w:val="24"/>
          <w:lang w:eastAsia="hu-HU"/>
        </w:rPr>
        <w:t xml:space="preserve"> a Ptk. – a jogi személyek, illetve a gazdasági társaságok közös szabályain túl – részben általános szabályokat állapít meg (pl. a közgyűlési meghívóra), majd külön szabályozza a zrt.-k, illetve a nyrt.-k összehívásának szabályait. A megismételt közgyűlés időpontja zártkörűen működő rt.-nél három napnál, nyilvános rt.-nél tíz napnál kevesebb nem lehet – e szabálytól való eltérés tilos. A megismételt közgyűlés a megjelent részvényesek számától függetlenül határozatképes. További lehetőség, hogy az rt. közgyűlése </w:t>
      </w:r>
      <w:r w:rsidRPr="00AE6F0C">
        <w:rPr>
          <w:rFonts w:ascii="Times New Roman" w:eastAsia="Times New Roman" w:hAnsi="Times New Roman" w:cs="Times New Roman"/>
          <w:sz w:val="24"/>
          <w:szCs w:val="24"/>
          <w:lang w:eastAsia="hu-HU"/>
        </w:rPr>
        <w:lastRenderedPageBreak/>
        <w:t>egy alkalommal legfeljebb harminc napra felfüggesztheti ülését. A közgyűlés általában a szavazatok egyszerű szótöbbségével dönt, de a legalapvetőbb szervezeti változásokhoz (pl. alapszabály-módosítás, átalakulás stb.) háromnegyedes többségre van szükség. (Szerintem helytelenül a Ptk. a háromnegyedes többségtől való eltérést nem nyilvánítja semmisnek.) Külön szabályokat tartalmaz a Ptk. az elektronikus hírközlő eszközök igénybevételével lebonyolított ún. konferencia-közgyűlésekre.</w:t>
      </w:r>
    </w:p>
    <w:p w14:paraId="5A33EB61"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rt. </w:t>
      </w:r>
      <w:r w:rsidRPr="00AE6F0C">
        <w:rPr>
          <w:rFonts w:ascii="Times New Roman" w:eastAsia="Times New Roman" w:hAnsi="Times New Roman" w:cs="Times New Roman"/>
          <w:i/>
          <w:sz w:val="24"/>
          <w:szCs w:val="24"/>
          <w:lang w:eastAsia="hu-HU"/>
        </w:rPr>
        <w:t>ügyvezető szerve főszabályként</w:t>
      </w:r>
      <w:r w:rsidRPr="00AE6F0C">
        <w:rPr>
          <w:rFonts w:ascii="Times New Roman" w:eastAsia="Times New Roman" w:hAnsi="Times New Roman" w:cs="Times New Roman"/>
          <w:sz w:val="24"/>
          <w:szCs w:val="24"/>
          <w:lang w:eastAsia="hu-HU"/>
        </w:rPr>
        <w:t xml:space="preserve"> a legalább 3 tagból álló </w:t>
      </w:r>
      <w:r w:rsidRPr="00AE6F0C">
        <w:rPr>
          <w:rFonts w:ascii="Times New Roman" w:eastAsia="Times New Roman" w:hAnsi="Times New Roman" w:cs="Times New Roman"/>
          <w:i/>
          <w:sz w:val="24"/>
          <w:szCs w:val="24"/>
          <w:lang w:eastAsia="hu-HU"/>
        </w:rPr>
        <w:t>igazgatóság,</w:t>
      </w:r>
      <w:r w:rsidRPr="00AE6F0C">
        <w:rPr>
          <w:rFonts w:ascii="Times New Roman" w:eastAsia="Times New Roman" w:hAnsi="Times New Roman" w:cs="Times New Roman"/>
          <w:sz w:val="24"/>
          <w:szCs w:val="24"/>
          <w:lang w:eastAsia="hu-HU"/>
        </w:rPr>
        <w:t xml:space="preserve"> amely – ha a közgyűlés ezt nem vonja magához – elnökét maga választja tagjai közül. Az igazgatóság tagjait főszabályként a közgyűlés választja meg. Az igazgatóság tagjai „külsők” és „belsők” egyaránt lehetnek – a megkülönböztetés arra utal, hogy az igazgatóság tagja az rt.-nél dolgozik-e (pl. vezérigazgató, más vezető munkavállaló) vagy sem. Az rt.-k többségében az igazgatóság vegyesen áll külsőkből és belsőkből, ha az igazgatóság tagjává választott vezérigazgató egyben az igazgatóság elnöke is, akkor beszélhetünk elnök-vezérigazgatóról. Ha az rt. igazgatósága zömmel belsőkből áll, lényegében azonos az rt. menedzsmentével, ha zömmel külsőkből, úgy az igazgatóság elválik a menedzsmenttől.</w:t>
      </w:r>
    </w:p>
    <w:p w14:paraId="14D9CBE5"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igazgatóság </w:t>
      </w:r>
      <w:r w:rsidRPr="00AE6F0C">
        <w:rPr>
          <w:rFonts w:ascii="Times New Roman" w:eastAsia="Times New Roman" w:hAnsi="Times New Roman" w:cs="Times New Roman"/>
          <w:i/>
          <w:sz w:val="24"/>
          <w:szCs w:val="24"/>
          <w:lang w:eastAsia="hu-HU"/>
        </w:rPr>
        <w:t>testület,</w:t>
      </w:r>
      <w:r w:rsidRPr="00AE6F0C">
        <w:rPr>
          <w:rFonts w:ascii="Times New Roman" w:eastAsia="Times New Roman" w:hAnsi="Times New Roman" w:cs="Times New Roman"/>
          <w:sz w:val="24"/>
          <w:szCs w:val="24"/>
          <w:lang w:eastAsia="hu-HU"/>
        </w:rPr>
        <w:t xml:space="preserve"> amely ügyrendje szerint főszabályként üléseken hozza meg döntéseit. Az igazgatóság ülésein mindenkinek egy szavazata van, és egyszerű szótöbbséggel születnek meg a döntések. A kárfelelősség szempontjából az igazgatóság tagjainak felelőssége egyetemleges, mentesül azonban a felelősség alól az a tag, aki a kárt okozó döntés ellen szavazott, illetve a döntéshozatalban nem vett részt.</w:t>
      </w:r>
    </w:p>
    <w:p w14:paraId="026FDA00"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igazgatóság </w:t>
      </w:r>
      <w:r w:rsidRPr="00AE6F0C">
        <w:rPr>
          <w:rFonts w:ascii="Times New Roman" w:eastAsia="Times New Roman" w:hAnsi="Times New Roman" w:cs="Times New Roman"/>
          <w:i/>
          <w:sz w:val="24"/>
          <w:szCs w:val="24"/>
          <w:lang w:eastAsia="hu-HU"/>
        </w:rPr>
        <w:t>vezeti operatívan</w:t>
      </w:r>
      <w:r w:rsidRPr="00AE6F0C">
        <w:rPr>
          <w:rFonts w:ascii="Times New Roman" w:eastAsia="Times New Roman" w:hAnsi="Times New Roman" w:cs="Times New Roman"/>
          <w:sz w:val="24"/>
          <w:szCs w:val="24"/>
          <w:lang w:eastAsia="hu-HU"/>
        </w:rPr>
        <w:t xml:space="preserve"> az rt.-t és köteles a vagyon védelméhez szükséges intézkedéseket megtenni. Az eredménybeszámolót – a könyvvizsgálói audittal és a felügyelőbizottság véleményével – az igazgatóság terjeszti a közgyűlés elé. Az igazgatóság a) ügyvezető tevékenységéről, b) a társaság vagyoni helyzetéről, c) az rt. üzletpolitikájáról a felügyelőbizottságnak folyamatosan beszámolni köteles.</w:t>
      </w:r>
    </w:p>
    <w:p w14:paraId="180AE242"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rt. igazgatóságával kapcsolatban már említett két </w:t>
      </w:r>
      <w:r w:rsidRPr="00AE6F0C">
        <w:rPr>
          <w:rFonts w:ascii="Times New Roman" w:eastAsia="Times New Roman" w:hAnsi="Times New Roman" w:cs="Times New Roman"/>
          <w:i/>
          <w:sz w:val="24"/>
          <w:szCs w:val="24"/>
          <w:lang w:eastAsia="hu-HU"/>
        </w:rPr>
        <w:t>speciális szabály</w:t>
      </w:r>
      <w:r w:rsidRPr="00AE6F0C">
        <w:rPr>
          <w:rFonts w:ascii="Times New Roman" w:eastAsia="Times New Roman" w:hAnsi="Times New Roman" w:cs="Times New Roman"/>
          <w:sz w:val="24"/>
          <w:szCs w:val="24"/>
          <w:lang w:eastAsia="hu-HU"/>
        </w:rPr>
        <w:t xml:space="preserve"> igényel említést:</w:t>
      </w:r>
    </w:p>
    <w:p w14:paraId="7496B08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b/>
        <w:t xml:space="preserve">a) a zártkörűen működő rt. alapszabálya </w:t>
      </w:r>
      <w:r w:rsidRPr="00AE6F0C">
        <w:rPr>
          <w:rFonts w:ascii="Times New Roman" w:eastAsia="Times New Roman" w:hAnsi="Times New Roman" w:cs="Times New Roman"/>
          <w:i/>
          <w:sz w:val="24"/>
          <w:szCs w:val="24"/>
          <w:lang w:eastAsia="hu-HU"/>
        </w:rPr>
        <w:t>egyszemélyes igazgatóságot</w:t>
      </w:r>
      <w:r w:rsidRPr="00AE6F0C">
        <w:rPr>
          <w:rFonts w:ascii="Times New Roman" w:eastAsia="Times New Roman" w:hAnsi="Times New Roman" w:cs="Times New Roman"/>
          <w:sz w:val="24"/>
          <w:szCs w:val="24"/>
          <w:lang w:eastAsia="hu-HU"/>
        </w:rPr>
        <w:t xml:space="preserve"> is intézményesíthet, azaz a </w:t>
      </w:r>
      <w:r w:rsidRPr="00AE6F0C">
        <w:rPr>
          <w:rFonts w:ascii="Times New Roman" w:eastAsia="Times New Roman" w:hAnsi="Times New Roman" w:cs="Times New Roman"/>
          <w:i/>
          <w:sz w:val="24"/>
          <w:szCs w:val="24"/>
          <w:lang w:eastAsia="hu-HU"/>
        </w:rPr>
        <w:t>vezérigazgatót</w:t>
      </w:r>
      <w:r w:rsidRPr="00AE6F0C">
        <w:rPr>
          <w:rFonts w:ascii="Times New Roman" w:eastAsia="Times New Roman" w:hAnsi="Times New Roman" w:cs="Times New Roman"/>
          <w:sz w:val="24"/>
          <w:szCs w:val="24"/>
          <w:lang w:eastAsia="hu-HU"/>
        </w:rPr>
        <w:t xml:space="preserve"> feljogosíthatja az igazgatóság hatáskörének gyakorlásával,</w:t>
      </w:r>
    </w:p>
    <w:p w14:paraId="5400195E"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b/>
        <w:t xml:space="preserve">b) a zártkörűen működő rt. alapszabály </w:t>
      </w:r>
      <w:r w:rsidRPr="00AE6F0C">
        <w:rPr>
          <w:rFonts w:ascii="Times New Roman" w:eastAsia="Times New Roman" w:hAnsi="Times New Roman" w:cs="Times New Roman"/>
          <w:i/>
          <w:sz w:val="24"/>
          <w:szCs w:val="24"/>
          <w:lang w:eastAsia="hu-HU"/>
        </w:rPr>
        <w:t>ügydöntő felügyelőbizottságot</w:t>
      </w:r>
      <w:r w:rsidRPr="00AE6F0C">
        <w:rPr>
          <w:rFonts w:ascii="Times New Roman" w:eastAsia="Times New Roman" w:hAnsi="Times New Roman" w:cs="Times New Roman"/>
          <w:sz w:val="24"/>
          <w:szCs w:val="24"/>
          <w:lang w:eastAsia="hu-HU"/>
        </w:rPr>
        <w:t xml:space="preserve"> is létrehozhat a már korábban tárgyalt szabályok szerint.</w:t>
      </w:r>
    </w:p>
    <w:p w14:paraId="22DA06A3"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b/>
      </w:r>
    </w:p>
    <w:p w14:paraId="213D6CB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Az a) és b) alatti speciális vezetési formációk </w:t>
      </w:r>
      <w:r w:rsidRPr="00AE6F0C">
        <w:rPr>
          <w:rFonts w:ascii="Times New Roman" w:eastAsia="Times New Roman" w:hAnsi="Times New Roman" w:cs="Times New Roman"/>
          <w:i/>
          <w:sz w:val="24"/>
          <w:szCs w:val="24"/>
          <w:lang w:eastAsia="hu-HU"/>
        </w:rPr>
        <w:t xml:space="preserve">egymással vegyítve is </w:t>
      </w:r>
      <w:r w:rsidRPr="00AE6F0C">
        <w:rPr>
          <w:rFonts w:ascii="Times New Roman" w:eastAsia="Times New Roman" w:hAnsi="Times New Roman" w:cs="Times New Roman"/>
          <w:sz w:val="24"/>
          <w:szCs w:val="24"/>
          <w:lang w:eastAsia="hu-HU"/>
        </w:rPr>
        <w:t>alkalmazhatók: ügydöntő felügyelőbizottság + egyszemélyes igazgatóság.</w:t>
      </w:r>
    </w:p>
    <w:p w14:paraId="4C815A1D"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Emellett – mint látni fogjuk – a nyilvános működő részvénytársaság a német duális rendszer helyett </w:t>
      </w:r>
      <w:r w:rsidRPr="00AE6F0C">
        <w:rPr>
          <w:rFonts w:ascii="Times New Roman" w:eastAsia="Times New Roman" w:hAnsi="Times New Roman" w:cs="Times New Roman"/>
          <w:i/>
          <w:sz w:val="24"/>
          <w:szCs w:val="24"/>
          <w:lang w:eastAsia="hu-HU"/>
        </w:rPr>
        <w:t>monista angol–amerikai</w:t>
      </w:r>
      <w:r w:rsidRPr="00AE6F0C">
        <w:rPr>
          <w:rFonts w:ascii="Times New Roman" w:eastAsia="Times New Roman" w:hAnsi="Times New Roman" w:cs="Times New Roman"/>
          <w:sz w:val="24"/>
          <w:szCs w:val="24"/>
          <w:lang w:eastAsia="hu-HU"/>
        </w:rPr>
        <w:t xml:space="preserve"> típusú </w:t>
      </w:r>
      <w:r w:rsidRPr="00AE6F0C">
        <w:rPr>
          <w:rFonts w:ascii="Times New Roman" w:eastAsia="Times New Roman" w:hAnsi="Times New Roman" w:cs="Times New Roman"/>
          <w:i/>
          <w:sz w:val="24"/>
          <w:szCs w:val="24"/>
          <w:lang w:eastAsia="hu-HU"/>
        </w:rPr>
        <w:t xml:space="preserve">Board rendszert (egységes irányítási modell) </w:t>
      </w:r>
      <w:r w:rsidRPr="00AE6F0C">
        <w:rPr>
          <w:rFonts w:ascii="Times New Roman" w:eastAsia="Times New Roman" w:hAnsi="Times New Roman" w:cs="Times New Roman"/>
          <w:sz w:val="24"/>
          <w:szCs w:val="24"/>
          <w:lang w:eastAsia="hu-HU"/>
        </w:rPr>
        <w:t>is alkalmazhat.</w:t>
      </w:r>
    </w:p>
    <w:p w14:paraId="196AE101" w14:textId="77777777" w:rsidR="00405F24"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 xml:space="preserve">A részvénytársaságok körében a </w:t>
      </w:r>
      <w:r w:rsidRPr="00AE6F0C">
        <w:rPr>
          <w:rFonts w:ascii="Times New Roman" w:eastAsia="Times New Roman" w:hAnsi="Times New Roman" w:cs="Times New Roman"/>
          <w:i/>
          <w:sz w:val="24"/>
          <w:szCs w:val="24"/>
          <w:lang w:eastAsia="hu-HU"/>
        </w:rPr>
        <w:t xml:space="preserve">felügyelőbizottsággal és a könyvvizsgálóval </w:t>
      </w:r>
      <w:r w:rsidRPr="00AE6F0C">
        <w:rPr>
          <w:rFonts w:ascii="Times New Roman" w:eastAsia="Times New Roman" w:hAnsi="Times New Roman" w:cs="Times New Roman"/>
          <w:sz w:val="24"/>
          <w:szCs w:val="24"/>
          <w:lang w:eastAsia="hu-HU"/>
        </w:rPr>
        <w:t xml:space="preserve">kapcsolatban speciális szabályok csak a </w:t>
      </w:r>
      <w:r w:rsidRPr="00AE6F0C">
        <w:rPr>
          <w:rFonts w:ascii="Times New Roman" w:eastAsia="Times New Roman" w:hAnsi="Times New Roman" w:cs="Times New Roman"/>
          <w:i/>
          <w:sz w:val="24"/>
          <w:szCs w:val="24"/>
          <w:lang w:eastAsia="hu-HU"/>
        </w:rPr>
        <w:t>nyilvánosan működő (azaz tőzsdei) részvénytársaságok</w:t>
      </w:r>
      <w:r w:rsidRPr="00AE6F0C">
        <w:rPr>
          <w:rFonts w:ascii="Times New Roman" w:eastAsia="Times New Roman" w:hAnsi="Times New Roman" w:cs="Times New Roman"/>
          <w:sz w:val="24"/>
          <w:szCs w:val="24"/>
          <w:lang w:eastAsia="hu-HU"/>
        </w:rPr>
        <w:t xml:space="preserve"> körében kerültek megállapításra, az általános szabályokat kell alkalmazni a zrt.-</w:t>
      </w:r>
      <w:proofErr w:type="spellStart"/>
      <w:r w:rsidRPr="00AE6F0C">
        <w:rPr>
          <w:rFonts w:ascii="Times New Roman" w:eastAsia="Times New Roman" w:hAnsi="Times New Roman" w:cs="Times New Roman"/>
          <w:sz w:val="24"/>
          <w:szCs w:val="24"/>
          <w:lang w:eastAsia="hu-HU"/>
        </w:rPr>
        <w:t>knél</w:t>
      </w:r>
      <w:proofErr w:type="spellEnd"/>
      <w:r w:rsidRPr="00AE6F0C">
        <w:rPr>
          <w:rFonts w:ascii="Times New Roman" w:eastAsia="Times New Roman" w:hAnsi="Times New Roman" w:cs="Times New Roman"/>
          <w:sz w:val="24"/>
          <w:szCs w:val="24"/>
          <w:lang w:eastAsia="hu-HU"/>
        </w:rPr>
        <w:t>.</w:t>
      </w:r>
    </w:p>
    <w:p w14:paraId="3446AE5E" w14:textId="77777777" w:rsidR="008D37AD" w:rsidRPr="00AE6F0C" w:rsidRDefault="008D37AD" w:rsidP="00EC10C5">
      <w:pPr>
        <w:spacing w:after="60" w:line="240" w:lineRule="auto"/>
        <w:ind w:firstLine="709"/>
        <w:jc w:val="both"/>
        <w:rPr>
          <w:rFonts w:ascii="Times New Roman" w:eastAsia="Times New Roman" w:hAnsi="Times New Roman" w:cs="Times New Roman"/>
          <w:sz w:val="24"/>
          <w:szCs w:val="24"/>
          <w:lang w:eastAsia="hu-HU"/>
        </w:rPr>
      </w:pPr>
    </w:p>
    <w:p w14:paraId="169C1F2C" w14:textId="77777777" w:rsidR="00405F24" w:rsidRPr="00AE6F0C" w:rsidRDefault="008D37AD" w:rsidP="00EC10C5">
      <w:pPr>
        <w:pStyle w:val="Stlus3"/>
      </w:pPr>
      <w:bookmarkStart w:id="378" w:name="_Toc2761150"/>
      <w:bookmarkStart w:id="379" w:name="_Toc13141294"/>
      <w:r>
        <w:t>F</w:t>
      </w:r>
      <w:r w:rsidR="00CD769A">
        <w:t>.2.6</w:t>
      </w:r>
      <w:r w:rsidR="00405F24" w:rsidRPr="00AE6F0C">
        <w:t>. A nyilvánosan működő részvénytársaságra vonatkozó külön szabályok</w:t>
      </w:r>
      <w:bookmarkEnd w:id="378"/>
      <w:bookmarkEnd w:id="379"/>
    </w:p>
    <w:p w14:paraId="7E649859" w14:textId="77777777" w:rsidR="00405F24" w:rsidRPr="00AE6F0C" w:rsidRDefault="00405F24" w:rsidP="00EC10C5">
      <w:pPr>
        <w:spacing w:after="60" w:line="240" w:lineRule="auto"/>
        <w:ind w:firstLine="709"/>
        <w:jc w:val="both"/>
        <w:rPr>
          <w:rFonts w:ascii="Times New Roman" w:eastAsia="Times New Roman" w:hAnsi="Times New Roman" w:cs="Times New Roman"/>
          <w:sz w:val="24"/>
          <w:szCs w:val="24"/>
          <w:lang w:eastAsia="hu-HU"/>
        </w:rPr>
      </w:pPr>
      <w:r w:rsidRPr="00AE6F0C">
        <w:rPr>
          <w:rFonts w:ascii="Times New Roman" w:eastAsia="Times New Roman" w:hAnsi="Times New Roman" w:cs="Times New Roman"/>
          <w:sz w:val="24"/>
          <w:szCs w:val="24"/>
          <w:lang w:eastAsia="hu-HU"/>
        </w:rPr>
        <w:t>A nyilvánosan működő rt.-re nézve a Ptk. több külön szabályt állapít meg.</w:t>
      </w:r>
    </w:p>
    <w:p w14:paraId="74358577"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Az eltérések egy része a nyilvánosan működő rt. részvényeire vonatkozik, így pl. az ilyen rt.-nek csak </w:t>
      </w:r>
      <w:proofErr w:type="spellStart"/>
      <w:r w:rsidRPr="00AE6F0C">
        <w:rPr>
          <w:rFonts w:eastAsia="Times New Roman"/>
          <w:lang w:eastAsia="hu-HU"/>
        </w:rPr>
        <w:t>dematerializált</w:t>
      </w:r>
      <w:proofErr w:type="spellEnd"/>
      <w:r w:rsidRPr="00AE6F0C">
        <w:rPr>
          <w:rFonts w:eastAsia="Times New Roman"/>
          <w:lang w:eastAsia="hu-HU"/>
        </w:rPr>
        <w:t xml:space="preserve"> részvényei lehetnek az elsőbbségi részvények csak korlátozottan kombinálhatók, a szavazatelsőbbségi részvényeket a törvény korlátozza stb. </w:t>
      </w:r>
      <w:r w:rsidRPr="00AE6F0C">
        <w:rPr>
          <w:rFonts w:eastAsia="Times New Roman"/>
          <w:lang w:eastAsia="hu-HU"/>
        </w:rPr>
        <w:lastRenderedPageBreak/>
        <w:t>Nyilvánosan működő részvénytársaság csak igen korlátozott mértékben nyújthat pénzügyi segítséget részvényei megszerzéséhez.</w:t>
      </w:r>
    </w:p>
    <w:p w14:paraId="444E1F3D"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 nyilvánosan működő rt.-knél a </w:t>
      </w:r>
      <w:r w:rsidRPr="00AE6F0C">
        <w:rPr>
          <w:rFonts w:eastAsia="Times New Roman"/>
          <w:i/>
          <w:lang w:eastAsia="hu-HU"/>
        </w:rPr>
        <w:t>részvényesek jogaira</w:t>
      </w:r>
      <w:r w:rsidRPr="00AE6F0C">
        <w:rPr>
          <w:rFonts w:eastAsia="Times New Roman"/>
          <w:lang w:eastAsia="hu-HU"/>
        </w:rPr>
        <w:t xml:space="preserve"> is speciális szabályok vonatkoznak, pl. az alapszabály meghatározhatja az egy részvényes által gyakorolható </w:t>
      </w:r>
      <w:r w:rsidRPr="00AE6F0C">
        <w:rPr>
          <w:rFonts w:eastAsia="Times New Roman"/>
          <w:i/>
          <w:lang w:eastAsia="hu-HU"/>
        </w:rPr>
        <w:t>szavazati jog legmagasabb mértékét</w:t>
      </w:r>
      <w:r w:rsidRPr="00AE6F0C">
        <w:rPr>
          <w:rFonts w:eastAsia="Times New Roman"/>
          <w:lang w:eastAsia="hu-HU"/>
        </w:rPr>
        <w:t xml:space="preserve">, a </w:t>
      </w:r>
      <w:r w:rsidRPr="00AE6F0C">
        <w:rPr>
          <w:rFonts w:eastAsia="Times New Roman"/>
          <w:i/>
          <w:lang w:eastAsia="hu-HU"/>
        </w:rPr>
        <w:t>kollektív kisebbségi jogok mértéke</w:t>
      </w:r>
      <w:r w:rsidRPr="00AE6F0C">
        <w:rPr>
          <w:rFonts w:eastAsia="Times New Roman"/>
          <w:lang w:eastAsia="hu-HU"/>
        </w:rPr>
        <w:t xml:space="preserve"> az általános 5% helyett 1% stb.</w:t>
      </w:r>
    </w:p>
    <w:p w14:paraId="04114E7E"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 nyilvánosan működő részvénytársaság </w:t>
      </w:r>
      <w:r w:rsidRPr="00AE6F0C">
        <w:rPr>
          <w:rFonts w:eastAsia="Times New Roman"/>
          <w:i/>
          <w:lang w:eastAsia="hu-HU"/>
        </w:rPr>
        <w:t>közgyűlésének</w:t>
      </w:r>
      <w:r w:rsidRPr="00AE6F0C">
        <w:rPr>
          <w:rFonts w:eastAsia="Times New Roman"/>
          <w:lang w:eastAsia="hu-HU"/>
        </w:rPr>
        <w:t xml:space="preserve"> hatásköre – a már említett </w:t>
      </w:r>
      <w:proofErr w:type="spellStart"/>
      <w:r w:rsidRPr="00AE6F0C">
        <w:rPr>
          <w:rFonts w:eastAsia="Times New Roman"/>
          <w:i/>
          <w:lang w:eastAsia="hu-HU"/>
        </w:rPr>
        <w:t>coroporate</w:t>
      </w:r>
      <w:proofErr w:type="spellEnd"/>
      <w:r w:rsidRPr="00AE6F0C">
        <w:rPr>
          <w:rFonts w:eastAsia="Times New Roman"/>
          <w:i/>
          <w:lang w:eastAsia="hu-HU"/>
        </w:rPr>
        <w:t xml:space="preserve"> </w:t>
      </w:r>
      <w:proofErr w:type="spellStart"/>
      <w:r w:rsidRPr="00AE6F0C">
        <w:rPr>
          <w:rFonts w:eastAsia="Times New Roman"/>
          <w:i/>
          <w:lang w:eastAsia="hu-HU"/>
        </w:rPr>
        <w:t>governance</w:t>
      </w:r>
      <w:proofErr w:type="spellEnd"/>
      <w:r w:rsidRPr="00AE6F0C">
        <w:rPr>
          <w:rFonts w:eastAsia="Times New Roman"/>
          <w:i/>
          <w:lang w:eastAsia="hu-HU"/>
        </w:rPr>
        <w:t xml:space="preserve"> (felelős vállalatirányítás)</w:t>
      </w:r>
      <w:r w:rsidRPr="00AE6F0C">
        <w:rPr>
          <w:rFonts w:eastAsia="Times New Roman"/>
          <w:lang w:eastAsia="hu-HU"/>
        </w:rPr>
        <w:t xml:space="preserve"> elvei jegyében – szélesebb az általánosnál és nyilvánossága is magasabb szintű. A nyrt.-</w:t>
      </w:r>
      <w:proofErr w:type="spellStart"/>
      <w:r w:rsidRPr="00AE6F0C">
        <w:rPr>
          <w:rFonts w:eastAsia="Times New Roman"/>
          <w:lang w:eastAsia="hu-HU"/>
        </w:rPr>
        <w:t>knél</w:t>
      </w:r>
      <w:proofErr w:type="spellEnd"/>
      <w:r w:rsidRPr="00AE6F0C">
        <w:rPr>
          <w:rFonts w:eastAsia="Times New Roman"/>
          <w:lang w:eastAsia="hu-HU"/>
        </w:rPr>
        <w:t xml:space="preserve"> ülés tartása nélkül a legfőbb szerv nem hozhat határozatot.</w:t>
      </w:r>
    </w:p>
    <w:p w14:paraId="26FCD765"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 legalapvetőbb </w:t>
      </w:r>
      <w:r w:rsidRPr="00AE6F0C">
        <w:rPr>
          <w:rFonts w:eastAsia="Times New Roman"/>
          <w:i/>
          <w:lang w:eastAsia="hu-HU"/>
        </w:rPr>
        <w:t>eltérés az ügyvezetés körében</w:t>
      </w:r>
      <w:r w:rsidRPr="00AE6F0C">
        <w:rPr>
          <w:rFonts w:eastAsia="Times New Roman"/>
          <w:lang w:eastAsia="hu-HU"/>
        </w:rPr>
        <w:t xml:space="preserve"> van. A Ptk. 3:285–3:288. § lehetővé teszi az alapszabálynak, hogy az igazgatóság és a felügyelőbizottság kettős rendszere helyett egységes irányítási rendszerben az angol–amerikai </w:t>
      </w:r>
      <w:r w:rsidRPr="00AE6F0C">
        <w:rPr>
          <w:rFonts w:eastAsia="Times New Roman"/>
          <w:i/>
          <w:lang w:eastAsia="hu-HU"/>
        </w:rPr>
        <w:t>Board-</w:t>
      </w:r>
      <w:proofErr w:type="spellStart"/>
      <w:r w:rsidRPr="00AE6F0C">
        <w:rPr>
          <w:rFonts w:eastAsia="Times New Roman"/>
          <w:i/>
          <w:lang w:eastAsia="hu-HU"/>
        </w:rPr>
        <w:t>nak</w:t>
      </w:r>
      <w:proofErr w:type="spellEnd"/>
      <w:r w:rsidRPr="00AE6F0C">
        <w:rPr>
          <w:rFonts w:eastAsia="Times New Roman"/>
          <w:lang w:eastAsia="hu-HU"/>
        </w:rPr>
        <w:t xml:space="preserve"> megfelelő </w:t>
      </w:r>
      <w:r w:rsidRPr="00AE6F0C">
        <w:rPr>
          <w:rFonts w:eastAsia="Times New Roman"/>
          <w:i/>
          <w:lang w:eastAsia="hu-HU"/>
        </w:rPr>
        <w:t>igazgatótanácsot</w:t>
      </w:r>
      <w:r w:rsidRPr="00AE6F0C">
        <w:rPr>
          <w:rFonts w:eastAsia="Times New Roman"/>
          <w:lang w:eastAsia="hu-HU"/>
        </w:rPr>
        <w:t xml:space="preserve"> működtessen. Az igazgatótanács tagjai többségének ún. független személynek kell lennie – független az, akinek igazgatótanácsi tagságán túl más jogviszonya (munkaviszony, megbízási viszony, részvényes stb.) az rt.-vel nincs. Az igazgatótanácsnak legalább öt természetes személy tagjának kell lennie. Mivel ilyen rt.-nél nincs felügyelőbizottság, az igazgatótanácsnak meg kell állapodnia az üzemi tanáccsal a munkavállalói részvételből eredő jogok gyakorlásáról.</w:t>
      </w:r>
    </w:p>
    <w:p w14:paraId="4CE00A31"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Akár kettős, akár egységes irányítási rendszerben működik a nyrt., </w:t>
      </w:r>
      <w:r w:rsidRPr="00AE6F0C">
        <w:rPr>
          <w:rFonts w:eastAsia="Times New Roman"/>
          <w:i/>
          <w:lang w:eastAsia="hu-HU"/>
        </w:rPr>
        <w:t>kötelező a felügyelőbizottság tagjai közül legalább három tagú audit bizottság</w:t>
      </w:r>
      <w:r w:rsidRPr="00AE6F0C">
        <w:rPr>
          <w:rFonts w:eastAsia="Times New Roman"/>
          <w:lang w:eastAsia="hu-HU"/>
        </w:rPr>
        <w:t xml:space="preserve"> választása, amely segíti az igazgatóság és a felügyelőbizottság, illetve az igazgatótanács tevékenységét. Nyilvánosan működő rt.-nél – ha nem egységes irányítási rendszerben működik – kötelező a felügyelőbizottság. Ugyancsak minden nyrt.-nél kötelező a könyvvizsgáló (ezt a zrt.-</w:t>
      </w:r>
      <w:proofErr w:type="spellStart"/>
      <w:r w:rsidRPr="00AE6F0C">
        <w:rPr>
          <w:rFonts w:eastAsia="Times New Roman"/>
          <w:lang w:eastAsia="hu-HU"/>
        </w:rPr>
        <w:t>knél</w:t>
      </w:r>
      <w:proofErr w:type="spellEnd"/>
      <w:r w:rsidRPr="00AE6F0C">
        <w:rPr>
          <w:rFonts w:eastAsia="Times New Roman"/>
          <w:lang w:eastAsia="hu-HU"/>
        </w:rPr>
        <w:t xml:space="preserve"> – szerintem helytelenül – a Ptk. nem teszi kötelezővé).</w:t>
      </w:r>
    </w:p>
    <w:p w14:paraId="49F3E519" w14:textId="77777777" w:rsidR="00405F24" w:rsidRPr="00AE6F0C" w:rsidRDefault="00405F24" w:rsidP="00EC10C5">
      <w:pPr>
        <w:pStyle w:val="Stlus2"/>
        <w:rPr>
          <w:rFonts w:eastAsia="Times New Roman"/>
          <w:lang w:eastAsia="hu-HU"/>
        </w:rPr>
      </w:pPr>
      <w:r w:rsidRPr="00AE6F0C">
        <w:rPr>
          <w:rFonts w:eastAsia="Times New Roman"/>
          <w:lang w:eastAsia="hu-HU"/>
        </w:rPr>
        <w:t xml:space="preserve">A nyilvánosan működő részvénytársaságoknál eredménybeszámolóval együtt a </w:t>
      </w:r>
      <w:r w:rsidRPr="00AE6F0C">
        <w:rPr>
          <w:rFonts w:eastAsia="Times New Roman"/>
          <w:i/>
          <w:lang w:eastAsia="hu-HU"/>
        </w:rPr>
        <w:t>felelős vállalatvezetési jelentést</w:t>
      </w:r>
      <w:r w:rsidRPr="00AE6F0C">
        <w:rPr>
          <w:rFonts w:eastAsia="Times New Roman"/>
          <w:lang w:eastAsia="hu-HU"/>
        </w:rPr>
        <w:t xml:space="preserve"> is a közgyűlés elé kell terjeszteni, amely az előzőüzleti évben folytatott vállalatvezetési gyakorlatot ismerteti, illetve értékeli.</w:t>
      </w:r>
    </w:p>
    <w:p w14:paraId="2CA8CE1E" w14:textId="77777777" w:rsidR="00405F24" w:rsidRPr="00AE6F0C" w:rsidRDefault="00405F24" w:rsidP="00EC10C5">
      <w:pPr>
        <w:spacing w:after="60" w:line="240" w:lineRule="auto"/>
        <w:ind w:firstLine="709"/>
        <w:jc w:val="both"/>
        <w:rPr>
          <w:rFonts w:ascii="Times New Roman" w:hAnsi="Times New Roman" w:cs="Times New Roman"/>
          <w:sz w:val="24"/>
          <w:szCs w:val="24"/>
        </w:rPr>
      </w:pPr>
      <w:r w:rsidRPr="00AE6F0C">
        <w:rPr>
          <w:rFonts w:ascii="Times New Roman" w:eastAsia="Times New Roman" w:hAnsi="Times New Roman" w:cs="Times New Roman"/>
          <w:sz w:val="24"/>
          <w:szCs w:val="24"/>
          <w:lang w:eastAsia="hu-HU"/>
        </w:rPr>
        <w:t xml:space="preserve">Mint említettük a nyilvánosan működő részvénytársaságnak – ez alapvető változás az eddigi helyzethez képest – </w:t>
      </w:r>
      <w:r w:rsidRPr="00AE6F0C">
        <w:rPr>
          <w:rFonts w:ascii="Times New Roman" w:eastAsia="Times New Roman" w:hAnsi="Times New Roman" w:cs="Times New Roman"/>
          <w:i/>
          <w:sz w:val="24"/>
          <w:szCs w:val="24"/>
          <w:lang w:eastAsia="hu-HU"/>
        </w:rPr>
        <w:t>tőzsdei részvénytársaságnak</w:t>
      </w:r>
      <w:r w:rsidRPr="00AE6F0C">
        <w:rPr>
          <w:rFonts w:ascii="Times New Roman" w:eastAsia="Times New Roman" w:hAnsi="Times New Roman" w:cs="Times New Roman"/>
          <w:sz w:val="24"/>
          <w:szCs w:val="24"/>
          <w:lang w:eastAsia="hu-HU"/>
        </w:rPr>
        <w:t xml:space="preserve"> kell lennie. Ez elvileg nemcsak a Budapesti Értéktőzsde lehet, sőt nem feltétlenül az Unióban kell lennie. Az adott tőzsde pedig tagjaira nézve további előírásokat állapíthat meg.</w:t>
      </w:r>
    </w:p>
    <w:p w14:paraId="62F82D2A" w14:textId="77777777" w:rsidR="00405F24" w:rsidRPr="00634083" w:rsidRDefault="00405F24" w:rsidP="00EC10C5">
      <w:pPr>
        <w:spacing w:after="60" w:line="240" w:lineRule="auto"/>
        <w:ind w:firstLine="709"/>
        <w:jc w:val="both"/>
        <w:rPr>
          <w:rFonts w:ascii="Times New Roman" w:eastAsia="Times New Roman" w:hAnsi="Times New Roman" w:cs="Times New Roman"/>
          <w:sz w:val="24"/>
          <w:szCs w:val="24"/>
          <w:lang w:eastAsia="hu-HU"/>
        </w:rPr>
      </w:pPr>
    </w:p>
    <w:p w14:paraId="65E97D0C" w14:textId="77777777" w:rsidR="005344BB" w:rsidRPr="00634083" w:rsidRDefault="005344BB" w:rsidP="00EC10C5">
      <w:pPr>
        <w:spacing w:after="60" w:line="240" w:lineRule="auto"/>
        <w:ind w:firstLine="709"/>
        <w:rPr>
          <w:rFonts w:ascii="Times New Roman" w:hAnsi="Times New Roman" w:cs="Times New Roman"/>
          <w:sz w:val="24"/>
          <w:szCs w:val="24"/>
        </w:rPr>
      </w:pPr>
    </w:p>
    <w:p w14:paraId="496F1890" w14:textId="77777777" w:rsidR="005344BB" w:rsidRPr="00664213" w:rsidRDefault="005344BB" w:rsidP="00EC10C5">
      <w:pPr>
        <w:spacing w:after="60" w:line="240" w:lineRule="auto"/>
        <w:ind w:firstLine="709"/>
        <w:jc w:val="both"/>
        <w:rPr>
          <w:rFonts w:ascii="Times New Roman" w:eastAsia="Times New Roman" w:hAnsi="Times New Roman" w:cs="Times New Roman"/>
          <w:sz w:val="24"/>
          <w:szCs w:val="24"/>
          <w:lang w:eastAsia="hu-HU"/>
        </w:rPr>
      </w:pPr>
    </w:p>
    <w:p w14:paraId="460E3909" w14:textId="77777777" w:rsidR="00CC5656" w:rsidRPr="00664213" w:rsidRDefault="00CC5656" w:rsidP="00EC10C5">
      <w:pPr>
        <w:spacing w:after="60" w:line="240" w:lineRule="auto"/>
        <w:ind w:firstLine="709"/>
        <w:rPr>
          <w:rFonts w:ascii="Times New Roman" w:hAnsi="Times New Roman" w:cs="Times New Roman"/>
          <w:sz w:val="24"/>
          <w:szCs w:val="24"/>
        </w:rPr>
      </w:pPr>
    </w:p>
    <w:p w14:paraId="2AAED740" w14:textId="77777777" w:rsidR="00CC5656" w:rsidRPr="00055041" w:rsidRDefault="00CC5656" w:rsidP="00EC10C5">
      <w:pPr>
        <w:spacing w:after="60" w:line="240" w:lineRule="auto"/>
        <w:ind w:firstLine="709"/>
        <w:jc w:val="both"/>
        <w:rPr>
          <w:rFonts w:ascii="Times New Roman" w:eastAsia="Times New Roman" w:hAnsi="Times New Roman" w:cs="Times New Roman"/>
          <w:sz w:val="24"/>
          <w:szCs w:val="24"/>
          <w:lang w:eastAsia="hu-HU"/>
        </w:rPr>
      </w:pPr>
    </w:p>
    <w:sectPr w:rsidR="00CC5656" w:rsidRPr="00055041" w:rsidSect="00EC10C5">
      <w:headerReference w:type="even" r:id="rId56"/>
      <w:footerReference w:type="even" r:id="rId57"/>
      <w:footerReference w:type="default" r:id="rId5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B0E6F" w14:textId="77777777" w:rsidR="009F2C7D" w:rsidRDefault="009F2C7D" w:rsidP="00964E48">
      <w:pPr>
        <w:spacing w:after="0" w:line="240" w:lineRule="auto"/>
      </w:pPr>
      <w:r>
        <w:separator/>
      </w:r>
    </w:p>
  </w:endnote>
  <w:endnote w:type="continuationSeparator" w:id="0">
    <w:p w14:paraId="5473DD4D" w14:textId="77777777" w:rsidR="009F2C7D" w:rsidRDefault="009F2C7D" w:rsidP="00964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venir Next Condensed">
    <w:altName w:val="Arial Narrow"/>
    <w:charset w:val="00"/>
    <w:family w:val="swiss"/>
    <w:pitch w:val="variable"/>
    <w:sig w:usb0="00000001" w:usb1="5000204A" w:usb2="00000000" w:usb3="00000000" w:csb0="0000009B" w:csb1="00000000"/>
  </w:font>
  <w:font w:name="Baghdad">
    <w:altName w:val="Courier New"/>
    <w:charset w:val="B2"/>
    <w:family w:val="auto"/>
    <w:pitch w:val="variable"/>
    <w:sig w:usb0="00002000" w:usb1="80000000" w:usb2="00000008" w:usb3="00000000" w:csb0="00000040" w:csb1="00000000"/>
  </w:font>
  <w:font w:name="Tahoma">
    <w:panose1 w:val="020B0604030504040204"/>
    <w:charset w:val="EE"/>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18CD1" w14:textId="77777777" w:rsidR="00EC10C5" w:rsidRDefault="00EC10C5" w:rsidP="0048439E">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6</w:t>
    </w:r>
    <w:r>
      <w:rPr>
        <w:rStyle w:val="Oldalszm"/>
      </w:rPr>
      <w:fldChar w:fldCharType="end"/>
    </w:r>
  </w:p>
  <w:p w14:paraId="43840478" w14:textId="77777777" w:rsidR="00EC10C5" w:rsidRDefault="00EC10C5" w:rsidP="0048439E">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653569"/>
      <w:docPartObj>
        <w:docPartGallery w:val="Page Numbers (Bottom of Page)"/>
        <w:docPartUnique/>
      </w:docPartObj>
    </w:sdtPr>
    <w:sdtEndPr/>
    <w:sdtContent>
      <w:p w14:paraId="7D5C2692" w14:textId="77777777" w:rsidR="00EC10C5" w:rsidRDefault="00EC10C5">
        <w:pPr>
          <w:pStyle w:val="llb"/>
          <w:jc w:val="center"/>
        </w:pPr>
        <w:r>
          <w:fldChar w:fldCharType="begin"/>
        </w:r>
        <w:r>
          <w:instrText>PAGE   \* MERGEFORMAT</w:instrText>
        </w:r>
        <w:r>
          <w:fldChar w:fldCharType="separate"/>
        </w:r>
        <w:r w:rsidR="005923B1">
          <w:rPr>
            <w:noProof/>
          </w:rPr>
          <w:t>123</w:t>
        </w:r>
        <w:r>
          <w:fldChar w:fldCharType="end"/>
        </w:r>
      </w:p>
    </w:sdtContent>
  </w:sdt>
  <w:p w14:paraId="5340B981" w14:textId="77777777" w:rsidR="00EC10C5" w:rsidRPr="00381F0E" w:rsidRDefault="00EC10C5">
    <w:pPr>
      <w:pStyle w:val="llb"/>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F42E2" w14:textId="77777777" w:rsidR="009F2C7D" w:rsidRDefault="009F2C7D" w:rsidP="00964E48">
      <w:pPr>
        <w:spacing w:after="0" w:line="240" w:lineRule="auto"/>
      </w:pPr>
      <w:r>
        <w:separator/>
      </w:r>
    </w:p>
  </w:footnote>
  <w:footnote w:type="continuationSeparator" w:id="0">
    <w:p w14:paraId="53E91E46" w14:textId="77777777" w:rsidR="009F2C7D" w:rsidRDefault="009F2C7D" w:rsidP="00964E48">
      <w:pPr>
        <w:spacing w:after="0" w:line="240" w:lineRule="auto"/>
      </w:pPr>
      <w:r>
        <w:continuationSeparator/>
      </w:r>
    </w:p>
  </w:footnote>
  <w:footnote w:id="1">
    <w:p w14:paraId="1B4A03BE" w14:textId="77777777" w:rsidR="00EC10C5" w:rsidRPr="00D20347" w:rsidRDefault="00EC10C5" w:rsidP="009B739F">
      <w:pPr>
        <w:pStyle w:val="Lbjegyzetszveg"/>
        <w:jc w:val="both"/>
        <w:rPr>
          <w:rFonts w:ascii="Times New Roman" w:hAnsi="Times New Roman" w:cs="Times New Roman"/>
        </w:rPr>
      </w:pPr>
      <w:r>
        <w:rPr>
          <w:rStyle w:val="Lbjegyzet-hivatkozs"/>
        </w:rPr>
        <w:footnoteRef/>
      </w:r>
      <w:r>
        <w:t xml:space="preserve"> </w:t>
      </w:r>
      <w:r w:rsidRPr="00D20347">
        <w:rPr>
          <w:rFonts w:ascii="Times New Roman" w:hAnsi="Times New Roman" w:cs="Times New Roman"/>
        </w:rPr>
        <w:t>A szigorlati jegyzetkivonat a szigorlati tárgyak oktatási segédanyagai alapján készült, azok – sok esetben – szó szerint, egy az egyben átvett fejezeteit, bekezdéseit tartalmazza.</w:t>
      </w:r>
    </w:p>
    <w:p w14:paraId="017E53B0" w14:textId="77777777" w:rsidR="00EC10C5" w:rsidRDefault="00EC10C5">
      <w:pPr>
        <w:pStyle w:val="Lbjegyzetszveg"/>
      </w:pPr>
    </w:p>
  </w:footnote>
  <w:footnote w:id="2">
    <w:p w14:paraId="665D3B3C" w14:textId="77777777" w:rsidR="00EC10C5" w:rsidRPr="00C022AA" w:rsidRDefault="00EC10C5" w:rsidP="00C022AA">
      <w:pPr>
        <w:pStyle w:val="Lbjegyzetszveg"/>
        <w:jc w:val="both"/>
        <w:rPr>
          <w:rFonts w:ascii="Times New Roman" w:hAnsi="Times New Roman" w:cs="Times New Roman"/>
        </w:rPr>
      </w:pPr>
      <w:r w:rsidRPr="00C022AA">
        <w:rPr>
          <w:rStyle w:val="Lbjegyzet-hivatkozs"/>
          <w:rFonts w:ascii="Times New Roman" w:hAnsi="Times New Roman" w:cs="Times New Roman"/>
        </w:rPr>
        <w:footnoteRef/>
      </w:r>
      <w:r w:rsidRPr="00C022AA">
        <w:rPr>
          <w:rFonts w:ascii="Times New Roman" w:hAnsi="Times New Roman" w:cs="Times New Roman"/>
        </w:rPr>
        <w:t xml:space="preserve"> pl. Magyarországon 1948 után a szocialista jog 1987-ig nem ismerte el az alapítvány jog személy</w:t>
      </w:r>
      <w:r>
        <w:rPr>
          <w:rFonts w:ascii="Times New Roman" w:hAnsi="Times New Roman" w:cs="Times New Roman"/>
        </w:rPr>
        <w:t>i</w:t>
      </w:r>
      <w:r w:rsidRPr="00C022AA">
        <w:rPr>
          <w:rFonts w:ascii="Times New Roman" w:hAnsi="Times New Roman" w:cs="Times New Roman"/>
        </w:rPr>
        <w:t>ségét, azt mesterséges burzsoá jogi konstrukciónak minősítve.</w:t>
      </w:r>
    </w:p>
  </w:footnote>
  <w:footnote w:id="3">
    <w:p w14:paraId="21B664C3" w14:textId="77777777" w:rsidR="00EC10C5" w:rsidRPr="00FA53C7" w:rsidRDefault="00EC10C5" w:rsidP="00FA53C7">
      <w:pPr>
        <w:pStyle w:val="Lbjegyzetszveg"/>
        <w:jc w:val="both"/>
        <w:rPr>
          <w:rFonts w:ascii="Times New Roman" w:hAnsi="Times New Roman" w:cs="Times New Roman"/>
        </w:rPr>
      </w:pPr>
      <w:r w:rsidRPr="00FA53C7">
        <w:rPr>
          <w:rStyle w:val="Lbjegyzet-hivatkozs"/>
          <w:rFonts w:ascii="Times New Roman" w:hAnsi="Times New Roman" w:cs="Times New Roman"/>
        </w:rPr>
        <w:footnoteRef/>
      </w:r>
      <w:r w:rsidRPr="00FA53C7">
        <w:rPr>
          <w:rFonts w:ascii="Times New Roman" w:hAnsi="Times New Roman" w:cs="Times New Roman"/>
        </w:rPr>
        <w:t xml:space="preserve"> A gazdasági társaságok és a szövetkezet esetében ez a cégnyilvántartás (a kereshető cégnyilvántartó rendszert lásd </w:t>
      </w:r>
      <w:hyperlink r:id="rId1" w:history="1">
        <w:r w:rsidRPr="00FA53C7">
          <w:rPr>
            <w:rStyle w:val="Hiperhivatkozs"/>
            <w:rFonts w:ascii="Times New Roman" w:hAnsi="Times New Roman" w:cs="Times New Roman"/>
          </w:rPr>
          <w:t>https://www.e-cegjegyzek.hu</w:t>
        </w:r>
      </w:hyperlink>
      <w:r w:rsidRPr="00FA53C7">
        <w:rPr>
          <w:rFonts w:ascii="Times New Roman" w:hAnsi="Times New Roman" w:cs="Times New Roman"/>
        </w:rPr>
        <w:t xml:space="preserve"> ), a civil szervezetek (egyesület, alapítvány) esetében a bírósági civilnyilvántartás (civil szervezetek névjegyzéke, mely a 2011. évi CLXXXI. törvény 86.§ (1) bekezdése szerint szintén közhiteles, és elektronikusan kereshető. Lásd </w:t>
      </w:r>
      <w:hyperlink r:id="rId2" w:history="1">
        <w:r w:rsidRPr="00FA53C7">
          <w:rPr>
            <w:rStyle w:val="Hiperhivatkozs"/>
            <w:rFonts w:ascii="Times New Roman" w:hAnsi="Times New Roman" w:cs="Times New Roman"/>
          </w:rPr>
          <w:t>https://birosag.hu/civil-szervezetek-nevjegyzeke</w:t>
        </w:r>
      </w:hyperlink>
      <w:r w:rsidRPr="00FA53C7">
        <w:rPr>
          <w:rFonts w:ascii="Times New Roman" w:hAnsi="Times New Roman" w:cs="Times New Roman"/>
        </w:rPr>
        <w:t xml:space="preserve"> ).</w:t>
      </w:r>
    </w:p>
  </w:footnote>
  <w:footnote w:id="4">
    <w:p w14:paraId="6D44445C" w14:textId="77777777" w:rsidR="00EC10C5" w:rsidRPr="00FA53C7" w:rsidRDefault="00EC10C5" w:rsidP="00FA53C7">
      <w:pPr>
        <w:pStyle w:val="Lbjegyzetszveg"/>
        <w:jc w:val="both"/>
        <w:rPr>
          <w:rFonts w:ascii="Times New Roman" w:hAnsi="Times New Roman" w:cs="Times New Roman"/>
        </w:rPr>
      </w:pPr>
      <w:r w:rsidRPr="00FA53C7">
        <w:rPr>
          <w:rStyle w:val="Lbjegyzet-hivatkozs"/>
          <w:rFonts w:ascii="Times New Roman" w:hAnsi="Times New Roman" w:cs="Times New Roman"/>
        </w:rPr>
        <w:footnoteRef/>
      </w:r>
      <w:r w:rsidRPr="00FA53C7">
        <w:rPr>
          <w:rFonts w:ascii="Times New Roman" w:hAnsi="Times New Roman" w:cs="Times New Roman"/>
        </w:rPr>
        <w:t xml:space="preserve"> Megjegyzendő, hogy az elektronizáció, az elektronizációval járó gyorsaság egyre jobban kérdésessé teszi a bírósági nyilvántartásba vétel, illetve a nyilvántartó bíróság általi törvényességi felügyelet intézményét. Ezen a téren tehát öt–tíz éven belül nagy valószínűséggel változások várhatók.</w:t>
      </w:r>
    </w:p>
  </w:footnote>
  <w:footnote w:id="5">
    <w:p w14:paraId="6EFF6E1D" w14:textId="77777777" w:rsidR="00EC10C5" w:rsidRPr="00FA53C7" w:rsidRDefault="00EC10C5" w:rsidP="00FA53C7">
      <w:pPr>
        <w:pStyle w:val="Lbjegyzetszveg"/>
        <w:jc w:val="both"/>
        <w:rPr>
          <w:rFonts w:ascii="Times New Roman" w:hAnsi="Times New Roman" w:cs="Times New Roman"/>
        </w:rPr>
      </w:pPr>
      <w:r w:rsidRPr="00FA53C7">
        <w:rPr>
          <w:rStyle w:val="Lbjegyzet-hivatkozs"/>
          <w:rFonts w:ascii="Times New Roman" w:hAnsi="Times New Roman" w:cs="Times New Roman"/>
        </w:rPr>
        <w:footnoteRef/>
      </w:r>
      <w:r w:rsidRPr="00FA53C7">
        <w:rPr>
          <w:rFonts w:ascii="Times New Roman" w:hAnsi="Times New Roman" w:cs="Times New Roman"/>
        </w:rPr>
        <w:t xml:space="preserve"> A magánnyugdíjpénztár, az önkéntes kölcsönös biztosító pénztár, a hitelintézetek önkéntes betétbiztosítási, illetve intézményvédelmi alapja, a köztestület, a kölcsönös biztosító egyesület, a hegyközség, a párt, az országos sportági szakszövetség, a szövetség és a közalapítvány valamennyi beadványát - az abban szereplő kérelem tárgyától függetlenül – kizárólag elektronikus úton terjesztheti elő. Ezen felül kizárólag elektronikus úton terjeszthető elő a beadvány, ha a kérelmező jogi képviselővel jár el, vagy ha egyszerűsített nyilvántartásba vételi (változásbejegyzési) eljárás lefolytatását kéri. Kizárólag elektronikus úton terjeszthető elő a közhasznú jogállás megállapítása iránti kérelem is, továbbá a 2011. évi CLXXV. törvény (</w:t>
      </w:r>
      <w:proofErr w:type="spellStart"/>
      <w:r w:rsidRPr="00FA53C7">
        <w:rPr>
          <w:rFonts w:ascii="Times New Roman" w:hAnsi="Times New Roman" w:cs="Times New Roman"/>
        </w:rPr>
        <w:t>Ectv</w:t>
      </w:r>
      <w:proofErr w:type="spellEnd"/>
      <w:r w:rsidRPr="00FA53C7">
        <w:rPr>
          <w:rFonts w:ascii="Times New Roman" w:hAnsi="Times New Roman" w:cs="Times New Roman"/>
        </w:rPr>
        <w:t>.) szerinti már közhasznú szervezetek minden beadványa.</w:t>
      </w:r>
    </w:p>
  </w:footnote>
  <w:footnote w:id="6">
    <w:p w14:paraId="58302F91" w14:textId="77777777" w:rsidR="00EC10C5" w:rsidRPr="00FA53C7" w:rsidRDefault="00EC10C5" w:rsidP="00CC5656">
      <w:pPr>
        <w:pStyle w:val="Lbjegyzetszveg"/>
        <w:rPr>
          <w:rFonts w:ascii="Times New Roman" w:hAnsi="Times New Roman" w:cs="Times New Roman"/>
        </w:rPr>
      </w:pPr>
      <w:r w:rsidRPr="00FA53C7">
        <w:rPr>
          <w:rStyle w:val="Lbjegyzet-hivatkozs"/>
          <w:rFonts w:ascii="Times New Roman" w:hAnsi="Times New Roman" w:cs="Times New Roman"/>
        </w:rPr>
        <w:footnoteRef/>
      </w:r>
      <w:r w:rsidRPr="00FA53C7">
        <w:rPr>
          <w:rFonts w:ascii="Times New Roman" w:hAnsi="Times New Roman" w:cs="Times New Roman"/>
        </w:rPr>
        <w:t xml:space="preserve"> 2009. évi CXV. törvény az egyéni vállalkozóról és az egyéni cégről - </w:t>
      </w:r>
      <w:proofErr w:type="spellStart"/>
      <w:r w:rsidRPr="00FA53C7">
        <w:rPr>
          <w:rFonts w:ascii="Times New Roman" w:hAnsi="Times New Roman" w:cs="Times New Roman"/>
        </w:rPr>
        <w:t>Evectv</w:t>
      </w:r>
      <w:proofErr w:type="spellEnd"/>
      <w:r w:rsidRPr="00FA53C7">
        <w:rPr>
          <w:rFonts w:ascii="Times New Roman" w:hAnsi="Times New Roman" w:cs="Times New Roman"/>
        </w:rPr>
        <w:t xml:space="preserve">., </w:t>
      </w:r>
      <w:proofErr w:type="spellStart"/>
      <w:r w:rsidRPr="00FA53C7">
        <w:rPr>
          <w:rFonts w:ascii="Times New Roman" w:hAnsi="Times New Roman" w:cs="Times New Roman"/>
        </w:rPr>
        <w:t>Evtv</w:t>
      </w:r>
      <w:proofErr w:type="spellEnd"/>
      <w:r w:rsidRPr="00FA53C7">
        <w:rPr>
          <w:rFonts w:ascii="Times New Roman" w:hAnsi="Times New Roman" w:cs="Times New Roman"/>
        </w:rPr>
        <w:t>.</w:t>
      </w:r>
    </w:p>
  </w:footnote>
  <w:footnote w:id="7">
    <w:p w14:paraId="4B9DB035" w14:textId="77777777" w:rsidR="00EC10C5" w:rsidRPr="00FA53C7" w:rsidRDefault="00EC10C5" w:rsidP="00FA53C7">
      <w:pPr>
        <w:pStyle w:val="Lbjegyzetszveg"/>
        <w:jc w:val="both"/>
        <w:rPr>
          <w:rFonts w:ascii="Times New Roman" w:hAnsi="Times New Roman" w:cs="Times New Roman"/>
        </w:rPr>
      </w:pPr>
      <w:r w:rsidRPr="00FA53C7">
        <w:rPr>
          <w:rStyle w:val="Lbjegyzet-hivatkozs"/>
          <w:rFonts w:ascii="Times New Roman" w:hAnsi="Times New Roman" w:cs="Times New Roman"/>
        </w:rPr>
        <w:footnoteRef/>
      </w:r>
      <w:r w:rsidRPr="00FA53C7">
        <w:rPr>
          <w:rFonts w:ascii="Times New Roman" w:hAnsi="Times New Roman" w:cs="Times New Roman"/>
        </w:rPr>
        <w:t xml:space="preserve"> E szabályt az irodalomban többen vitatják, hiszen a tulajdonhoz való alkotmányos jog korlátozását jelenti. Korábban ilyen korlátozások jellemzően csak a társaságok vezető tisztségviselőire érvényesültek.</w:t>
      </w:r>
    </w:p>
  </w:footnote>
  <w:footnote w:id="8">
    <w:p w14:paraId="7B7DB59F" w14:textId="77777777" w:rsidR="00EC10C5" w:rsidRPr="00FA53C7" w:rsidRDefault="00EC10C5" w:rsidP="00FA53C7">
      <w:pPr>
        <w:pStyle w:val="Lbjegyzetszveg"/>
        <w:jc w:val="both"/>
        <w:rPr>
          <w:rFonts w:ascii="Times New Roman" w:hAnsi="Times New Roman" w:cs="Times New Roman"/>
        </w:rPr>
      </w:pPr>
      <w:r w:rsidRPr="00FA53C7">
        <w:rPr>
          <w:rStyle w:val="Lbjegyzet-hivatkozs"/>
          <w:rFonts w:ascii="Times New Roman" w:hAnsi="Times New Roman" w:cs="Times New Roman"/>
        </w:rPr>
        <w:footnoteRef/>
      </w:r>
      <w:r w:rsidRPr="00FA53C7">
        <w:rPr>
          <w:rFonts w:ascii="Times New Roman" w:hAnsi="Times New Roman" w:cs="Times New Roman"/>
        </w:rPr>
        <w:t xml:space="preserve"> A szerződésmintákat korábban a </w:t>
      </w:r>
      <w:proofErr w:type="spellStart"/>
      <w:r w:rsidRPr="00FA53C7">
        <w:rPr>
          <w:rFonts w:ascii="Times New Roman" w:hAnsi="Times New Roman" w:cs="Times New Roman"/>
        </w:rPr>
        <w:t>Ctv</w:t>
      </w:r>
      <w:proofErr w:type="spellEnd"/>
      <w:r w:rsidRPr="00FA53C7">
        <w:rPr>
          <w:rFonts w:ascii="Times New Roman" w:hAnsi="Times New Roman" w:cs="Times New Roman"/>
        </w:rPr>
        <w:t>. melléklete tartalmazza, ezt 2014.-ben a jogalkotó megváltoztatta, így a szerződésmintákat a hivatkozott 21/2006 (V.18.) IM rendeletben helyezte el</w:t>
      </w:r>
    </w:p>
  </w:footnote>
  <w:footnote w:id="9">
    <w:p w14:paraId="20AD82D5" w14:textId="77777777" w:rsidR="00EC10C5" w:rsidRPr="00C33081" w:rsidRDefault="00EC10C5" w:rsidP="00C33081">
      <w:pPr>
        <w:jc w:val="both"/>
        <w:rPr>
          <w:rFonts w:ascii="Times New Roman" w:hAnsi="Times New Roman" w:cs="Times New Roman"/>
          <w:sz w:val="20"/>
          <w:szCs w:val="20"/>
        </w:rPr>
      </w:pPr>
      <w:r w:rsidRPr="00C33081">
        <w:rPr>
          <w:rStyle w:val="Lbjegyzet-hivatkozs"/>
          <w:rFonts w:ascii="Times New Roman" w:hAnsi="Times New Roman" w:cs="Times New Roman"/>
          <w:sz w:val="20"/>
          <w:szCs w:val="20"/>
        </w:rPr>
        <w:footnoteRef/>
      </w:r>
      <w:r w:rsidRPr="00C33081">
        <w:rPr>
          <w:rFonts w:ascii="Times New Roman" w:hAnsi="Times New Roman" w:cs="Times New Roman"/>
          <w:sz w:val="20"/>
          <w:szCs w:val="20"/>
        </w:rPr>
        <w:t xml:space="preserve"> Jelenleg nem kötelező a társaságoknál a könyvvizsgálat, ha a vállalkozás nettó árbevétele a megelőző két üzleti év átlagában nem haladja meg a 300 millió forintot, és a megelőző két évben az átlagosan foglalkoztatottak létszáma nem haladta meg az 50 főt. Minden esetben kötelező azonban a könyvvizsgálat például a takarékszövetkezeteknél, a konszolidációba bevont vállalkozásoknál (vállaltcsoportoknál), az EU-n kívüli székhelyű külföldi vállalkozás magyarországi </w:t>
      </w:r>
      <w:proofErr w:type="spellStart"/>
      <w:r w:rsidRPr="00C33081">
        <w:rPr>
          <w:rFonts w:ascii="Times New Roman" w:hAnsi="Times New Roman" w:cs="Times New Roman"/>
          <w:sz w:val="20"/>
          <w:szCs w:val="20"/>
        </w:rPr>
        <w:t>fióktelepeinél</w:t>
      </w:r>
      <w:proofErr w:type="spellEnd"/>
      <w:r w:rsidRPr="00C33081">
        <w:rPr>
          <w:rFonts w:ascii="Times New Roman" w:hAnsi="Times New Roman" w:cs="Times New Roman"/>
          <w:sz w:val="20"/>
          <w:szCs w:val="20"/>
        </w:rPr>
        <w:t>, egyes kiemelt gazdálkodóknál, vagy a jelentős lejárt köztartozást felhalmozott vállalkozásoknál is.</w:t>
      </w:r>
    </w:p>
    <w:p w14:paraId="3B80F8C6" w14:textId="77777777" w:rsidR="00EC10C5" w:rsidRDefault="00EC10C5" w:rsidP="005344BB">
      <w:pPr>
        <w:pStyle w:val="Lbjegyzetszveg"/>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CA465" w14:textId="69622DDE" w:rsidR="00EC10C5" w:rsidRPr="00AF2DFE" w:rsidRDefault="00EC10C5" w:rsidP="0048439E">
    <w:pPr>
      <w:pStyle w:val="lfej"/>
      <w:pBdr>
        <w:bottom w:val="single" w:sz="4" w:space="1" w:color="auto"/>
      </w:pBdr>
      <w:rPr>
        <w:b/>
        <w:sz w:val="20"/>
        <w:szCs w:val="20"/>
      </w:rPr>
    </w:pPr>
    <w:r w:rsidRPr="00AF2DFE">
      <w:rPr>
        <w:b/>
        <w:sz w:val="20"/>
        <w:szCs w:val="20"/>
      </w:rPr>
      <w:t xml:space="preserve">Dr. </w:t>
    </w:r>
    <w:r>
      <w:rPr>
        <w:b/>
        <w:sz w:val="20"/>
        <w:szCs w:val="20"/>
      </w:rPr>
      <w:t>Gyökér Irén</w:t>
    </w:r>
    <w:r w:rsidRPr="00AF2DFE">
      <w:rPr>
        <w:b/>
        <w:sz w:val="20"/>
        <w:szCs w:val="20"/>
      </w:rPr>
      <w:t xml:space="preserve">: </w:t>
    </w:r>
    <w:r>
      <w:rPr>
        <w:b/>
        <w:sz w:val="20"/>
        <w:szCs w:val="20"/>
      </w:rPr>
      <w:t>Szervezeti viselkedés</w:t>
    </w:r>
    <w:r w:rsidRPr="00AF2DFE">
      <w:rPr>
        <w:b/>
        <w:sz w:val="20"/>
        <w:szCs w:val="20"/>
      </w:rPr>
      <w:tab/>
    </w:r>
    <w:r w:rsidRPr="00AF2DFE">
      <w:rPr>
        <w:b/>
        <w:sz w:val="20"/>
        <w:szCs w:val="20"/>
      </w:rPr>
      <w:tab/>
      <w:t xml:space="preserve"> </w:t>
    </w:r>
    <w:r w:rsidRPr="00AF2DFE">
      <w:rPr>
        <w:b/>
        <w:sz w:val="20"/>
        <w:szCs w:val="20"/>
      </w:rPr>
      <w:fldChar w:fldCharType="begin"/>
    </w:r>
    <w:r w:rsidRPr="00AF2DFE">
      <w:rPr>
        <w:b/>
        <w:sz w:val="20"/>
        <w:szCs w:val="20"/>
      </w:rPr>
      <w:instrText xml:space="preserve"> STYLEREF  HV_Fejezetcim  \* MERGEFORMAT </w:instrText>
    </w:r>
    <w:r w:rsidRPr="00AF2DFE">
      <w:rPr>
        <w:b/>
        <w:sz w:val="20"/>
        <w:szCs w:val="20"/>
      </w:rPr>
      <w:fldChar w:fldCharType="separate"/>
    </w:r>
    <w:r w:rsidR="006C213D">
      <w:rPr>
        <w:bCs/>
        <w:noProof/>
        <w:sz w:val="20"/>
        <w:szCs w:val="20"/>
      </w:rPr>
      <w:t>Hiba! Nincs ilyen stílusú szöveg a dokumentumban.</w:t>
    </w:r>
    <w:r w:rsidRPr="00AF2DFE">
      <w:rPr>
        <w:b/>
        <w:sz w:val="20"/>
        <w:szCs w:val="20"/>
      </w:rPr>
      <w:fldChar w:fldCharType="end"/>
    </w:r>
  </w:p>
  <w:p w14:paraId="1CDB7B2E" w14:textId="77777777" w:rsidR="00EC10C5" w:rsidRDefault="00EC10C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EF4"/>
    <w:multiLevelType w:val="hybridMultilevel"/>
    <w:tmpl w:val="BFB035DE"/>
    <w:lvl w:ilvl="0" w:tplc="040E0005">
      <w:start w:val="1"/>
      <w:numFmt w:val="bullet"/>
      <w:lvlText w:val=""/>
      <w:lvlJc w:val="left"/>
      <w:pPr>
        <w:ind w:left="720" w:hanging="360"/>
      </w:pPr>
      <w:rPr>
        <w:rFonts w:ascii="Wingdings" w:hAnsi="Wingdings" w:hint="default"/>
      </w:rPr>
    </w:lvl>
    <w:lvl w:ilvl="1" w:tplc="040E0005">
      <w:start w:val="1"/>
      <w:numFmt w:val="bullet"/>
      <w:lvlText w:val=""/>
      <w:lvlJc w:val="left"/>
      <w:pPr>
        <w:ind w:left="1440" w:hanging="360"/>
      </w:pPr>
      <w:rPr>
        <w:rFonts w:ascii="Wingdings" w:hAnsi="Wingdings"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22B4D84"/>
    <w:multiLevelType w:val="hybridMultilevel"/>
    <w:tmpl w:val="F1CCD82C"/>
    <w:lvl w:ilvl="0" w:tplc="865E2B28">
      <w:start w:val="1"/>
      <w:numFmt w:val="bullet"/>
      <w:lvlText w:val=""/>
      <w:lvlJc w:val="left"/>
      <w:pPr>
        <w:ind w:left="720" w:hanging="360"/>
      </w:pPr>
      <w:rPr>
        <w:rFonts w:ascii="Symbol" w:hAnsi="Symbol" w:hint="default"/>
      </w:rPr>
    </w:lvl>
    <w:lvl w:ilvl="1" w:tplc="B26ED438">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2813786"/>
    <w:multiLevelType w:val="hybridMultilevel"/>
    <w:tmpl w:val="9632952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3366172"/>
    <w:multiLevelType w:val="hybridMultilevel"/>
    <w:tmpl w:val="26DC2D9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394684C"/>
    <w:multiLevelType w:val="hybridMultilevel"/>
    <w:tmpl w:val="FB662AE0"/>
    <w:lvl w:ilvl="0" w:tplc="1722D7EC">
      <w:start w:val="1"/>
      <w:numFmt w:val="decimal"/>
      <w:suff w:val="space"/>
      <w:lvlText w:val="%1."/>
      <w:lvlJc w:val="left"/>
      <w:pPr>
        <w:tabs>
          <w:tab w:val="num" w:pos="720"/>
        </w:tabs>
        <w:ind w:left="720" w:hanging="360"/>
      </w:pPr>
      <w:rPr>
        <w:rFonts w:hint="default"/>
      </w:rPr>
    </w:lvl>
    <w:lvl w:ilvl="1" w:tplc="3190D47A">
      <w:start w:val="1"/>
      <w:numFmt w:val="bullet"/>
      <w:lvlText w:val="•"/>
      <w:lvlJc w:val="left"/>
      <w:pPr>
        <w:tabs>
          <w:tab w:val="num" w:pos="1440"/>
        </w:tabs>
        <w:ind w:left="1440" w:hanging="360"/>
      </w:pPr>
      <w:rPr>
        <w:rFonts w:ascii="Times New Roman" w:hAnsi="Times New Roman" w:hint="default"/>
      </w:rPr>
    </w:lvl>
    <w:lvl w:ilvl="2" w:tplc="DA62818A" w:tentative="1">
      <w:start w:val="1"/>
      <w:numFmt w:val="bullet"/>
      <w:lvlText w:val="•"/>
      <w:lvlJc w:val="left"/>
      <w:pPr>
        <w:tabs>
          <w:tab w:val="num" w:pos="2160"/>
        </w:tabs>
        <w:ind w:left="2160" w:hanging="360"/>
      </w:pPr>
      <w:rPr>
        <w:rFonts w:ascii="Times New Roman" w:hAnsi="Times New Roman" w:hint="default"/>
      </w:rPr>
    </w:lvl>
    <w:lvl w:ilvl="3" w:tplc="345C23EC" w:tentative="1">
      <w:start w:val="1"/>
      <w:numFmt w:val="bullet"/>
      <w:lvlText w:val="•"/>
      <w:lvlJc w:val="left"/>
      <w:pPr>
        <w:tabs>
          <w:tab w:val="num" w:pos="2880"/>
        </w:tabs>
        <w:ind w:left="2880" w:hanging="360"/>
      </w:pPr>
      <w:rPr>
        <w:rFonts w:ascii="Times New Roman" w:hAnsi="Times New Roman" w:hint="default"/>
      </w:rPr>
    </w:lvl>
    <w:lvl w:ilvl="4" w:tplc="8FA8BAA6" w:tentative="1">
      <w:start w:val="1"/>
      <w:numFmt w:val="bullet"/>
      <w:lvlText w:val="•"/>
      <w:lvlJc w:val="left"/>
      <w:pPr>
        <w:tabs>
          <w:tab w:val="num" w:pos="3600"/>
        </w:tabs>
        <w:ind w:left="3600" w:hanging="360"/>
      </w:pPr>
      <w:rPr>
        <w:rFonts w:ascii="Times New Roman" w:hAnsi="Times New Roman" w:hint="default"/>
      </w:rPr>
    </w:lvl>
    <w:lvl w:ilvl="5" w:tplc="E676BAC8" w:tentative="1">
      <w:start w:val="1"/>
      <w:numFmt w:val="bullet"/>
      <w:lvlText w:val="•"/>
      <w:lvlJc w:val="left"/>
      <w:pPr>
        <w:tabs>
          <w:tab w:val="num" w:pos="4320"/>
        </w:tabs>
        <w:ind w:left="4320" w:hanging="360"/>
      </w:pPr>
      <w:rPr>
        <w:rFonts w:ascii="Times New Roman" w:hAnsi="Times New Roman" w:hint="default"/>
      </w:rPr>
    </w:lvl>
    <w:lvl w:ilvl="6" w:tplc="0712B19A" w:tentative="1">
      <w:start w:val="1"/>
      <w:numFmt w:val="bullet"/>
      <w:lvlText w:val="•"/>
      <w:lvlJc w:val="left"/>
      <w:pPr>
        <w:tabs>
          <w:tab w:val="num" w:pos="5040"/>
        </w:tabs>
        <w:ind w:left="5040" w:hanging="360"/>
      </w:pPr>
      <w:rPr>
        <w:rFonts w:ascii="Times New Roman" w:hAnsi="Times New Roman" w:hint="default"/>
      </w:rPr>
    </w:lvl>
    <w:lvl w:ilvl="7" w:tplc="F7CA91FA" w:tentative="1">
      <w:start w:val="1"/>
      <w:numFmt w:val="bullet"/>
      <w:lvlText w:val="•"/>
      <w:lvlJc w:val="left"/>
      <w:pPr>
        <w:tabs>
          <w:tab w:val="num" w:pos="5760"/>
        </w:tabs>
        <w:ind w:left="5760" w:hanging="360"/>
      </w:pPr>
      <w:rPr>
        <w:rFonts w:ascii="Times New Roman" w:hAnsi="Times New Roman" w:hint="default"/>
      </w:rPr>
    </w:lvl>
    <w:lvl w:ilvl="8" w:tplc="BE00B74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4C64927"/>
    <w:multiLevelType w:val="hybridMultilevel"/>
    <w:tmpl w:val="35C05AF8"/>
    <w:lvl w:ilvl="0" w:tplc="66CE72D8">
      <w:start w:val="1"/>
      <w:numFmt w:val="decimal"/>
      <w:lvlText w:val="%1."/>
      <w:lvlJc w:val="left"/>
      <w:pPr>
        <w:tabs>
          <w:tab w:val="num" w:pos="720"/>
        </w:tabs>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5C1783C"/>
    <w:multiLevelType w:val="hybridMultilevel"/>
    <w:tmpl w:val="3D66CB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BAC6F3B"/>
    <w:multiLevelType w:val="hybridMultilevel"/>
    <w:tmpl w:val="1792A28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CB05B22"/>
    <w:multiLevelType w:val="hybridMultilevel"/>
    <w:tmpl w:val="EFD6A4DA"/>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0DF21EEC"/>
    <w:multiLevelType w:val="hybridMultilevel"/>
    <w:tmpl w:val="511890B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0000756"/>
    <w:multiLevelType w:val="multilevel"/>
    <w:tmpl w:val="B96CE25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113975BD"/>
    <w:multiLevelType w:val="hybridMultilevel"/>
    <w:tmpl w:val="45B23998"/>
    <w:lvl w:ilvl="0" w:tplc="891A2F96">
      <w:start w:val="1"/>
      <w:numFmt w:val="bullet"/>
      <w:lvlText w:val=""/>
      <w:lvlJc w:val="left"/>
      <w:pPr>
        <w:ind w:left="1440" w:hanging="360"/>
      </w:pPr>
      <w:rPr>
        <w:rFonts w:ascii="Wingdings" w:hAnsi="Wingdings" w:hint="default"/>
      </w:rPr>
    </w:lvl>
    <w:lvl w:ilvl="1" w:tplc="040E0001">
      <w:start w:val="1"/>
      <w:numFmt w:val="bullet"/>
      <w:lvlText w:val=""/>
      <w:lvlJc w:val="left"/>
      <w:pPr>
        <w:ind w:left="2160" w:hanging="360"/>
      </w:pPr>
      <w:rPr>
        <w:rFonts w:ascii="Symbol" w:hAnsi="Symbol"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2" w15:restartNumberingAfterBreak="0">
    <w:nsid w:val="11883CB2"/>
    <w:multiLevelType w:val="hybridMultilevel"/>
    <w:tmpl w:val="4EAEC20E"/>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3" w15:restartNumberingAfterBreak="0">
    <w:nsid w:val="12422A7C"/>
    <w:multiLevelType w:val="hybridMultilevel"/>
    <w:tmpl w:val="7660A860"/>
    <w:lvl w:ilvl="0" w:tplc="69CAFA78">
      <w:start w:val="1"/>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25202F3"/>
    <w:multiLevelType w:val="hybridMultilevel"/>
    <w:tmpl w:val="B5F894D0"/>
    <w:lvl w:ilvl="0" w:tplc="040E0005">
      <w:start w:val="1"/>
      <w:numFmt w:val="bullet"/>
      <w:lvlText w:val=""/>
      <w:lvlJc w:val="left"/>
      <w:pPr>
        <w:tabs>
          <w:tab w:val="num" w:pos="720"/>
        </w:tabs>
        <w:ind w:left="720" w:hanging="360"/>
      </w:pPr>
      <w:rPr>
        <w:rFonts w:ascii="Wingdings" w:hAnsi="Wingdings" w:hint="default"/>
      </w:rPr>
    </w:lvl>
    <w:lvl w:ilvl="1" w:tplc="ED2436CC" w:tentative="1">
      <w:start w:val="1"/>
      <w:numFmt w:val="bullet"/>
      <w:lvlText w:val="•"/>
      <w:lvlJc w:val="left"/>
      <w:pPr>
        <w:tabs>
          <w:tab w:val="num" w:pos="1440"/>
        </w:tabs>
        <w:ind w:left="1440" w:hanging="360"/>
      </w:pPr>
      <w:rPr>
        <w:rFonts w:ascii="Arial" w:hAnsi="Arial" w:hint="default"/>
      </w:rPr>
    </w:lvl>
    <w:lvl w:ilvl="2" w:tplc="9EE43DA8" w:tentative="1">
      <w:start w:val="1"/>
      <w:numFmt w:val="bullet"/>
      <w:lvlText w:val="•"/>
      <w:lvlJc w:val="left"/>
      <w:pPr>
        <w:tabs>
          <w:tab w:val="num" w:pos="2160"/>
        </w:tabs>
        <w:ind w:left="2160" w:hanging="360"/>
      </w:pPr>
      <w:rPr>
        <w:rFonts w:ascii="Arial" w:hAnsi="Arial" w:hint="default"/>
      </w:rPr>
    </w:lvl>
    <w:lvl w:ilvl="3" w:tplc="CD082174" w:tentative="1">
      <w:start w:val="1"/>
      <w:numFmt w:val="bullet"/>
      <w:lvlText w:val="•"/>
      <w:lvlJc w:val="left"/>
      <w:pPr>
        <w:tabs>
          <w:tab w:val="num" w:pos="2880"/>
        </w:tabs>
        <w:ind w:left="2880" w:hanging="360"/>
      </w:pPr>
      <w:rPr>
        <w:rFonts w:ascii="Arial" w:hAnsi="Arial" w:hint="default"/>
      </w:rPr>
    </w:lvl>
    <w:lvl w:ilvl="4" w:tplc="E90C0AC8" w:tentative="1">
      <w:start w:val="1"/>
      <w:numFmt w:val="bullet"/>
      <w:lvlText w:val="•"/>
      <w:lvlJc w:val="left"/>
      <w:pPr>
        <w:tabs>
          <w:tab w:val="num" w:pos="3600"/>
        </w:tabs>
        <w:ind w:left="3600" w:hanging="360"/>
      </w:pPr>
      <w:rPr>
        <w:rFonts w:ascii="Arial" w:hAnsi="Arial" w:hint="default"/>
      </w:rPr>
    </w:lvl>
    <w:lvl w:ilvl="5" w:tplc="DA7C4558" w:tentative="1">
      <w:start w:val="1"/>
      <w:numFmt w:val="bullet"/>
      <w:lvlText w:val="•"/>
      <w:lvlJc w:val="left"/>
      <w:pPr>
        <w:tabs>
          <w:tab w:val="num" w:pos="4320"/>
        </w:tabs>
        <w:ind w:left="4320" w:hanging="360"/>
      </w:pPr>
      <w:rPr>
        <w:rFonts w:ascii="Arial" w:hAnsi="Arial" w:hint="default"/>
      </w:rPr>
    </w:lvl>
    <w:lvl w:ilvl="6" w:tplc="CD56FBD4" w:tentative="1">
      <w:start w:val="1"/>
      <w:numFmt w:val="bullet"/>
      <w:lvlText w:val="•"/>
      <w:lvlJc w:val="left"/>
      <w:pPr>
        <w:tabs>
          <w:tab w:val="num" w:pos="5040"/>
        </w:tabs>
        <w:ind w:left="5040" w:hanging="360"/>
      </w:pPr>
      <w:rPr>
        <w:rFonts w:ascii="Arial" w:hAnsi="Arial" w:hint="default"/>
      </w:rPr>
    </w:lvl>
    <w:lvl w:ilvl="7" w:tplc="8DD0EF88" w:tentative="1">
      <w:start w:val="1"/>
      <w:numFmt w:val="bullet"/>
      <w:lvlText w:val="•"/>
      <w:lvlJc w:val="left"/>
      <w:pPr>
        <w:tabs>
          <w:tab w:val="num" w:pos="5760"/>
        </w:tabs>
        <w:ind w:left="5760" w:hanging="360"/>
      </w:pPr>
      <w:rPr>
        <w:rFonts w:ascii="Arial" w:hAnsi="Arial" w:hint="default"/>
      </w:rPr>
    </w:lvl>
    <w:lvl w:ilvl="8" w:tplc="DFB4919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5D41176"/>
    <w:multiLevelType w:val="multilevel"/>
    <w:tmpl w:val="874CE8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676548C"/>
    <w:multiLevelType w:val="multilevel"/>
    <w:tmpl w:val="9FA88BA4"/>
    <w:styleLink w:val="Aktulislista1"/>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19870577"/>
    <w:multiLevelType w:val="hybridMultilevel"/>
    <w:tmpl w:val="A24819EC"/>
    <w:lvl w:ilvl="0" w:tplc="040E0005">
      <w:start w:val="1"/>
      <w:numFmt w:val="bullet"/>
      <w:lvlText w:val=""/>
      <w:lvlJc w:val="left"/>
      <w:pPr>
        <w:ind w:left="1789" w:hanging="360"/>
      </w:pPr>
      <w:rPr>
        <w:rFonts w:ascii="Wingdings" w:hAnsi="Wingdings" w:hint="default"/>
      </w:rPr>
    </w:lvl>
    <w:lvl w:ilvl="1" w:tplc="040E0003" w:tentative="1">
      <w:start w:val="1"/>
      <w:numFmt w:val="bullet"/>
      <w:lvlText w:val="o"/>
      <w:lvlJc w:val="left"/>
      <w:pPr>
        <w:ind w:left="2509" w:hanging="360"/>
      </w:pPr>
      <w:rPr>
        <w:rFonts w:ascii="Courier New" w:hAnsi="Courier New" w:cs="Courier New" w:hint="default"/>
      </w:rPr>
    </w:lvl>
    <w:lvl w:ilvl="2" w:tplc="040E0005" w:tentative="1">
      <w:start w:val="1"/>
      <w:numFmt w:val="bullet"/>
      <w:lvlText w:val=""/>
      <w:lvlJc w:val="left"/>
      <w:pPr>
        <w:ind w:left="3229" w:hanging="360"/>
      </w:pPr>
      <w:rPr>
        <w:rFonts w:ascii="Wingdings" w:hAnsi="Wingdings" w:hint="default"/>
      </w:rPr>
    </w:lvl>
    <w:lvl w:ilvl="3" w:tplc="040E0001" w:tentative="1">
      <w:start w:val="1"/>
      <w:numFmt w:val="bullet"/>
      <w:lvlText w:val=""/>
      <w:lvlJc w:val="left"/>
      <w:pPr>
        <w:ind w:left="3949" w:hanging="360"/>
      </w:pPr>
      <w:rPr>
        <w:rFonts w:ascii="Symbol" w:hAnsi="Symbol" w:hint="default"/>
      </w:rPr>
    </w:lvl>
    <w:lvl w:ilvl="4" w:tplc="040E0003" w:tentative="1">
      <w:start w:val="1"/>
      <w:numFmt w:val="bullet"/>
      <w:lvlText w:val="o"/>
      <w:lvlJc w:val="left"/>
      <w:pPr>
        <w:ind w:left="4669" w:hanging="360"/>
      </w:pPr>
      <w:rPr>
        <w:rFonts w:ascii="Courier New" w:hAnsi="Courier New" w:cs="Courier New" w:hint="default"/>
      </w:rPr>
    </w:lvl>
    <w:lvl w:ilvl="5" w:tplc="040E0005" w:tentative="1">
      <w:start w:val="1"/>
      <w:numFmt w:val="bullet"/>
      <w:lvlText w:val=""/>
      <w:lvlJc w:val="left"/>
      <w:pPr>
        <w:ind w:left="5389" w:hanging="360"/>
      </w:pPr>
      <w:rPr>
        <w:rFonts w:ascii="Wingdings" w:hAnsi="Wingdings" w:hint="default"/>
      </w:rPr>
    </w:lvl>
    <w:lvl w:ilvl="6" w:tplc="040E0001" w:tentative="1">
      <w:start w:val="1"/>
      <w:numFmt w:val="bullet"/>
      <w:lvlText w:val=""/>
      <w:lvlJc w:val="left"/>
      <w:pPr>
        <w:ind w:left="6109" w:hanging="360"/>
      </w:pPr>
      <w:rPr>
        <w:rFonts w:ascii="Symbol" w:hAnsi="Symbol" w:hint="default"/>
      </w:rPr>
    </w:lvl>
    <w:lvl w:ilvl="7" w:tplc="040E0003" w:tentative="1">
      <w:start w:val="1"/>
      <w:numFmt w:val="bullet"/>
      <w:lvlText w:val="o"/>
      <w:lvlJc w:val="left"/>
      <w:pPr>
        <w:ind w:left="6829" w:hanging="360"/>
      </w:pPr>
      <w:rPr>
        <w:rFonts w:ascii="Courier New" w:hAnsi="Courier New" w:cs="Courier New" w:hint="default"/>
      </w:rPr>
    </w:lvl>
    <w:lvl w:ilvl="8" w:tplc="040E0005" w:tentative="1">
      <w:start w:val="1"/>
      <w:numFmt w:val="bullet"/>
      <w:lvlText w:val=""/>
      <w:lvlJc w:val="left"/>
      <w:pPr>
        <w:ind w:left="7549" w:hanging="360"/>
      </w:pPr>
      <w:rPr>
        <w:rFonts w:ascii="Wingdings" w:hAnsi="Wingdings" w:hint="default"/>
      </w:rPr>
    </w:lvl>
  </w:abstractNum>
  <w:abstractNum w:abstractNumId="18" w15:restartNumberingAfterBreak="0">
    <w:nsid w:val="1A806131"/>
    <w:multiLevelType w:val="hybridMultilevel"/>
    <w:tmpl w:val="83363FF2"/>
    <w:lvl w:ilvl="0" w:tplc="C9B000B0">
      <w:start w:val="1"/>
      <w:numFmt w:val="bullet"/>
      <w:lvlText w:val="•"/>
      <w:lvlJc w:val="left"/>
      <w:pPr>
        <w:tabs>
          <w:tab w:val="num" w:pos="360"/>
        </w:tabs>
        <w:ind w:left="360" w:hanging="360"/>
      </w:pPr>
      <w:rPr>
        <w:rFonts w:ascii="Times New Roman" w:hAnsi="Times New Roman" w:hint="default"/>
      </w:rPr>
    </w:lvl>
    <w:lvl w:ilvl="1" w:tplc="040E0005">
      <w:start w:val="1"/>
      <w:numFmt w:val="bullet"/>
      <w:lvlText w:val=""/>
      <w:lvlJc w:val="left"/>
      <w:pPr>
        <w:tabs>
          <w:tab w:val="num" w:pos="1080"/>
        </w:tabs>
        <w:ind w:left="1080" w:hanging="360"/>
      </w:pPr>
      <w:rPr>
        <w:rFonts w:ascii="Wingdings" w:hAnsi="Wingdings" w:hint="default"/>
      </w:rPr>
    </w:lvl>
    <w:lvl w:ilvl="2" w:tplc="040E0001">
      <w:start w:val="1"/>
      <w:numFmt w:val="bullet"/>
      <w:lvlText w:val=""/>
      <w:lvlJc w:val="left"/>
      <w:pPr>
        <w:tabs>
          <w:tab w:val="num" w:pos="1800"/>
        </w:tabs>
        <w:ind w:left="1800" w:hanging="360"/>
      </w:pPr>
      <w:rPr>
        <w:rFonts w:ascii="Symbol" w:hAnsi="Symbol" w:hint="default"/>
      </w:rPr>
    </w:lvl>
    <w:lvl w:ilvl="3" w:tplc="96B06F1E" w:tentative="1">
      <w:start w:val="1"/>
      <w:numFmt w:val="bullet"/>
      <w:lvlText w:val="•"/>
      <w:lvlJc w:val="left"/>
      <w:pPr>
        <w:tabs>
          <w:tab w:val="num" w:pos="2520"/>
        </w:tabs>
        <w:ind w:left="2520" w:hanging="360"/>
      </w:pPr>
      <w:rPr>
        <w:rFonts w:ascii="Times New Roman" w:hAnsi="Times New Roman" w:hint="default"/>
      </w:rPr>
    </w:lvl>
    <w:lvl w:ilvl="4" w:tplc="3B6AD860" w:tentative="1">
      <w:start w:val="1"/>
      <w:numFmt w:val="bullet"/>
      <w:lvlText w:val="•"/>
      <w:lvlJc w:val="left"/>
      <w:pPr>
        <w:tabs>
          <w:tab w:val="num" w:pos="3240"/>
        </w:tabs>
        <w:ind w:left="3240" w:hanging="360"/>
      </w:pPr>
      <w:rPr>
        <w:rFonts w:ascii="Times New Roman" w:hAnsi="Times New Roman" w:hint="default"/>
      </w:rPr>
    </w:lvl>
    <w:lvl w:ilvl="5" w:tplc="55B2FB90" w:tentative="1">
      <w:start w:val="1"/>
      <w:numFmt w:val="bullet"/>
      <w:lvlText w:val="•"/>
      <w:lvlJc w:val="left"/>
      <w:pPr>
        <w:tabs>
          <w:tab w:val="num" w:pos="3960"/>
        </w:tabs>
        <w:ind w:left="3960" w:hanging="360"/>
      </w:pPr>
      <w:rPr>
        <w:rFonts w:ascii="Times New Roman" w:hAnsi="Times New Roman" w:hint="default"/>
      </w:rPr>
    </w:lvl>
    <w:lvl w:ilvl="6" w:tplc="4FFAB4D8" w:tentative="1">
      <w:start w:val="1"/>
      <w:numFmt w:val="bullet"/>
      <w:lvlText w:val="•"/>
      <w:lvlJc w:val="left"/>
      <w:pPr>
        <w:tabs>
          <w:tab w:val="num" w:pos="4680"/>
        </w:tabs>
        <w:ind w:left="4680" w:hanging="360"/>
      </w:pPr>
      <w:rPr>
        <w:rFonts w:ascii="Times New Roman" w:hAnsi="Times New Roman" w:hint="default"/>
      </w:rPr>
    </w:lvl>
    <w:lvl w:ilvl="7" w:tplc="35F0A12A" w:tentative="1">
      <w:start w:val="1"/>
      <w:numFmt w:val="bullet"/>
      <w:lvlText w:val="•"/>
      <w:lvlJc w:val="left"/>
      <w:pPr>
        <w:tabs>
          <w:tab w:val="num" w:pos="5400"/>
        </w:tabs>
        <w:ind w:left="5400" w:hanging="360"/>
      </w:pPr>
      <w:rPr>
        <w:rFonts w:ascii="Times New Roman" w:hAnsi="Times New Roman" w:hint="default"/>
      </w:rPr>
    </w:lvl>
    <w:lvl w:ilvl="8" w:tplc="69C41B5C"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1B345988"/>
    <w:multiLevelType w:val="hybridMultilevel"/>
    <w:tmpl w:val="14E2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4F4D36"/>
    <w:multiLevelType w:val="multilevel"/>
    <w:tmpl w:val="77A4659A"/>
    <w:lvl w:ilvl="0">
      <w:start w:val="1"/>
      <w:numFmt w:val="bullet"/>
      <w:pStyle w:val="Szdfelsorols"/>
      <w:lvlText w:val=""/>
      <w:lvlJc w:val="left"/>
      <w:pPr>
        <w:tabs>
          <w:tab w:val="num" w:pos="757"/>
        </w:tabs>
        <w:ind w:left="757" w:hanging="360"/>
      </w:pPr>
      <w:rPr>
        <w:rFonts w:ascii="Symbol" w:hAnsi="Symbol" w:hint="default"/>
        <w:color w:val="auto"/>
        <w:sz w:val="24"/>
        <w:szCs w:val="24"/>
      </w:rPr>
    </w:lvl>
    <w:lvl w:ilvl="1">
      <w:start w:val="1"/>
      <w:numFmt w:val="bullet"/>
      <w:lvlText w:val=""/>
      <w:lvlJc w:val="left"/>
      <w:pPr>
        <w:tabs>
          <w:tab w:val="num" w:pos="1117"/>
        </w:tabs>
        <w:ind w:left="1117" w:hanging="360"/>
      </w:pPr>
      <w:rPr>
        <w:rFonts w:ascii="Wingdings" w:hAnsi="Wingdings" w:hint="default"/>
      </w:rPr>
    </w:lvl>
    <w:lvl w:ilvl="2">
      <w:start w:val="1"/>
      <w:numFmt w:val="bullet"/>
      <w:lvlText w:val=""/>
      <w:lvlJc w:val="left"/>
      <w:pPr>
        <w:tabs>
          <w:tab w:val="num" w:pos="1477"/>
        </w:tabs>
        <w:ind w:left="1477" w:hanging="360"/>
      </w:pPr>
      <w:rPr>
        <w:rFonts w:ascii="Wingdings" w:hAnsi="Wingdings" w:hint="default"/>
      </w:rPr>
    </w:lvl>
    <w:lvl w:ilvl="3">
      <w:start w:val="1"/>
      <w:numFmt w:val="bullet"/>
      <w:lvlText w:val=""/>
      <w:lvlJc w:val="left"/>
      <w:pPr>
        <w:tabs>
          <w:tab w:val="num" w:pos="1837"/>
        </w:tabs>
        <w:ind w:left="1837" w:hanging="360"/>
      </w:pPr>
      <w:rPr>
        <w:rFonts w:ascii="Symbol" w:hAnsi="Symbol" w:hint="default"/>
      </w:rPr>
    </w:lvl>
    <w:lvl w:ilvl="4">
      <w:start w:val="1"/>
      <w:numFmt w:val="bullet"/>
      <w:lvlText w:val=""/>
      <w:lvlJc w:val="left"/>
      <w:pPr>
        <w:tabs>
          <w:tab w:val="num" w:pos="2197"/>
        </w:tabs>
        <w:ind w:left="2197" w:hanging="360"/>
      </w:pPr>
      <w:rPr>
        <w:rFonts w:ascii="Symbol" w:hAnsi="Symbol" w:hint="default"/>
      </w:rPr>
    </w:lvl>
    <w:lvl w:ilvl="5">
      <w:start w:val="1"/>
      <w:numFmt w:val="bullet"/>
      <w:lvlText w:val=""/>
      <w:lvlJc w:val="left"/>
      <w:pPr>
        <w:tabs>
          <w:tab w:val="num" w:pos="2557"/>
        </w:tabs>
        <w:ind w:left="2557" w:hanging="360"/>
      </w:pPr>
      <w:rPr>
        <w:rFonts w:ascii="Wingdings" w:hAnsi="Wingdings" w:hint="default"/>
      </w:rPr>
    </w:lvl>
    <w:lvl w:ilvl="6">
      <w:start w:val="1"/>
      <w:numFmt w:val="bullet"/>
      <w:lvlText w:val=""/>
      <w:lvlJc w:val="left"/>
      <w:pPr>
        <w:tabs>
          <w:tab w:val="num" w:pos="2917"/>
        </w:tabs>
        <w:ind w:left="2917" w:hanging="360"/>
      </w:pPr>
      <w:rPr>
        <w:rFonts w:ascii="Wingdings" w:hAnsi="Wingdings" w:hint="default"/>
      </w:rPr>
    </w:lvl>
    <w:lvl w:ilvl="7">
      <w:start w:val="1"/>
      <w:numFmt w:val="bullet"/>
      <w:lvlText w:val=""/>
      <w:lvlJc w:val="left"/>
      <w:pPr>
        <w:tabs>
          <w:tab w:val="num" w:pos="3277"/>
        </w:tabs>
        <w:ind w:left="3277" w:hanging="360"/>
      </w:pPr>
      <w:rPr>
        <w:rFonts w:ascii="Symbol" w:hAnsi="Symbol" w:hint="default"/>
      </w:rPr>
    </w:lvl>
    <w:lvl w:ilvl="8">
      <w:start w:val="1"/>
      <w:numFmt w:val="bullet"/>
      <w:lvlText w:val=""/>
      <w:lvlJc w:val="left"/>
      <w:pPr>
        <w:tabs>
          <w:tab w:val="num" w:pos="3637"/>
        </w:tabs>
        <w:ind w:left="3637" w:hanging="360"/>
      </w:pPr>
      <w:rPr>
        <w:rFonts w:ascii="Symbol" w:hAnsi="Symbol" w:hint="default"/>
      </w:rPr>
    </w:lvl>
  </w:abstractNum>
  <w:abstractNum w:abstractNumId="21" w15:restartNumberingAfterBreak="0">
    <w:nsid w:val="1BDA30C6"/>
    <w:multiLevelType w:val="hybridMultilevel"/>
    <w:tmpl w:val="CC00BE2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1C5C2946"/>
    <w:multiLevelType w:val="hybridMultilevel"/>
    <w:tmpl w:val="4E90648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1C9A6996"/>
    <w:multiLevelType w:val="hybridMultilevel"/>
    <w:tmpl w:val="C6FC4B9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F860C27"/>
    <w:multiLevelType w:val="hybridMultilevel"/>
    <w:tmpl w:val="CF4E9506"/>
    <w:lvl w:ilvl="0" w:tplc="040E0005">
      <w:start w:val="1"/>
      <w:numFmt w:val="bullet"/>
      <w:lvlText w:val=""/>
      <w:lvlJc w:val="left"/>
      <w:pPr>
        <w:ind w:left="765" w:hanging="360"/>
      </w:pPr>
      <w:rPr>
        <w:rFonts w:ascii="Wingdings" w:hAnsi="Wingdings"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5" w15:restartNumberingAfterBreak="0">
    <w:nsid w:val="25090BD0"/>
    <w:multiLevelType w:val="multilevel"/>
    <w:tmpl w:val="D39235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254205D5"/>
    <w:multiLevelType w:val="hybridMultilevel"/>
    <w:tmpl w:val="F8EC23F6"/>
    <w:lvl w:ilvl="0" w:tplc="040E0005">
      <w:start w:val="1"/>
      <w:numFmt w:val="bullet"/>
      <w:lvlText w:val=""/>
      <w:lvlJc w:val="left"/>
      <w:pPr>
        <w:tabs>
          <w:tab w:val="num" w:pos="360"/>
        </w:tabs>
        <w:ind w:left="360" w:hanging="360"/>
      </w:pPr>
      <w:rPr>
        <w:rFonts w:ascii="Wingdings" w:hAnsi="Wingdings" w:hint="default"/>
      </w:rPr>
    </w:lvl>
    <w:lvl w:ilvl="1" w:tplc="7EB0BD3C" w:tentative="1">
      <w:start w:val="1"/>
      <w:numFmt w:val="bullet"/>
      <w:lvlText w:val="•"/>
      <w:lvlJc w:val="left"/>
      <w:pPr>
        <w:tabs>
          <w:tab w:val="num" w:pos="1080"/>
        </w:tabs>
        <w:ind w:left="1080" w:hanging="360"/>
      </w:pPr>
      <w:rPr>
        <w:rFonts w:ascii="Arial" w:hAnsi="Arial" w:hint="default"/>
      </w:rPr>
    </w:lvl>
    <w:lvl w:ilvl="2" w:tplc="3E9EBA92" w:tentative="1">
      <w:start w:val="1"/>
      <w:numFmt w:val="bullet"/>
      <w:lvlText w:val="•"/>
      <w:lvlJc w:val="left"/>
      <w:pPr>
        <w:tabs>
          <w:tab w:val="num" w:pos="1800"/>
        </w:tabs>
        <w:ind w:left="1800" w:hanging="360"/>
      </w:pPr>
      <w:rPr>
        <w:rFonts w:ascii="Arial" w:hAnsi="Arial" w:hint="default"/>
      </w:rPr>
    </w:lvl>
    <w:lvl w:ilvl="3" w:tplc="15AA9EF6" w:tentative="1">
      <w:start w:val="1"/>
      <w:numFmt w:val="bullet"/>
      <w:lvlText w:val="•"/>
      <w:lvlJc w:val="left"/>
      <w:pPr>
        <w:tabs>
          <w:tab w:val="num" w:pos="2520"/>
        </w:tabs>
        <w:ind w:left="2520" w:hanging="360"/>
      </w:pPr>
      <w:rPr>
        <w:rFonts w:ascii="Arial" w:hAnsi="Arial" w:hint="default"/>
      </w:rPr>
    </w:lvl>
    <w:lvl w:ilvl="4" w:tplc="D3FCF14E" w:tentative="1">
      <w:start w:val="1"/>
      <w:numFmt w:val="bullet"/>
      <w:lvlText w:val="•"/>
      <w:lvlJc w:val="left"/>
      <w:pPr>
        <w:tabs>
          <w:tab w:val="num" w:pos="3240"/>
        </w:tabs>
        <w:ind w:left="3240" w:hanging="360"/>
      </w:pPr>
      <w:rPr>
        <w:rFonts w:ascii="Arial" w:hAnsi="Arial" w:hint="default"/>
      </w:rPr>
    </w:lvl>
    <w:lvl w:ilvl="5" w:tplc="D6866576" w:tentative="1">
      <w:start w:val="1"/>
      <w:numFmt w:val="bullet"/>
      <w:lvlText w:val="•"/>
      <w:lvlJc w:val="left"/>
      <w:pPr>
        <w:tabs>
          <w:tab w:val="num" w:pos="3960"/>
        </w:tabs>
        <w:ind w:left="3960" w:hanging="360"/>
      </w:pPr>
      <w:rPr>
        <w:rFonts w:ascii="Arial" w:hAnsi="Arial" w:hint="default"/>
      </w:rPr>
    </w:lvl>
    <w:lvl w:ilvl="6" w:tplc="FDE8468A" w:tentative="1">
      <w:start w:val="1"/>
      <w:numFmt w:val="bullet"/>
      <w:lvlText w:val="•"/>
      <w:lvlJc w:val="left"/>
      <w:pPr>
        <w:tabs>
          <w:tab w:val="num" w:pos="4680"/>
        </w:tabs>
        <w:ind w:left="4680" w:hanging="360"/>
      </w:pPr>
      <w:rPr>
        <w:rFonts w:ascii="Arial" w:hAnsi="Arial" w:hint="default"/>
      </w:rPr>
    </w:lvl>
    <w:lvl w:ilvl="7" w:tplc="8B0CB19E" w:tentative="1">
      <w:start w:val="1"/>
      <w:numFmt w:val="bullet"/>
      <w:lvlText w:val="•"/>
      <w:lvlJc w:val="left"/>
      <w:pPr>
        <w:tabs>
          <w:tab w:val="num" w:pos="5400"/>
        </w:tabs>
        <w:ind w:left="5400" w:hanging="360"/>
      </w:pPr>
      <w:rPr>
        <w:rFonts w:ascii="Arial" w:hAnsi="Arial" w:hint="default"/>
      </w:rPr>
    </w:lvl>
    <w:lvl w:ilvl="8" w:tplc="AA9808AC"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27040107"/>
    <w:multiLevelType w:val="hybridMultilevel"/>
    <w:tmpl w:val="2CDA2F48"/>
    <w:lvl w:ilvl="0" w:tplc="865E2B2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77564B0"/>
    <w:multiLevelType w:val="hybridMultilevel"/>
    <w:tmpl w:val="34727D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D235EF6"/>
    <w:multiLevelType w:val="hybridMultilevel"/>
    <w:tmpl w:val="97680316"/>
    <w:lvl w:ilvl="0" w:tplc="FC42094A">
      <w:start w:val="1"/>
      <w:numFmt w:val="decimal"/>
      <w:pStyle w:val="EEMszmozs"/>
      <w:lvlText w:val="%1."/>
      <w:lvlJc w:val="left"/>
      <w:pPr>
        <w:tabs>
          <w:tab w:val="num" w:pos="644"/>
        </w:tabs>
        <w:ind w:left="644" w:hanging="360"/>
      </w:pPr>
      <w:rPr>
        <w:rFonts w:ascii="Arial" w:hAnsi="Arial" w:hint="default"/>
        <w:b w:val="0"/>
        <w:i w:val="0"/>
        <w:sz w:val="20"/>
        <w:szCs w:val="20"/>
      </w:rPr>
    </w:lvl>
    <w:lvl w:ilvl="1" w:tplc="040E0019" w:tentative="1">
      <w:start w:val="1"/>
      <w:numFmt w:val="lowerLetter"/>
      <w:lvlText w:val="%2."/>
      <w:lvlJc w:val="left"/>
      <w:pPr>
        <w:tabs>
          <w:tab w:val="num" w:pos="1364"/>
        </w:tabs>
        <w:ind w:left="1364" w:hanging="360"/>
      </w:pPr>
    </w:lvl>
    <w:lvl w:ilvl="2" w:tplc="040E001B" w:tentative="1">
      <w:start w:val="1"/>
      <w:numFmt w:val="lowerRoman"/>
      <w:lvlText w:val="%3."/>
      <w:lvlJc w:val="right"/>
      <w:pPr>
        <w:tabs>
          <w:tab w:val="num" w:pos="2084"/>
        </w:tabs>
        <w:ind w:left="2084" w:hanging="180"/>
      </w:pPr>
    </w:lvl>
    <w:lvl w:ilvl="3" w:tplc="040E000F" w:tentative="1">
      <w:start w:val="1"/>
      <w:numFmt w:val="decimal"/>
      <w:lvlText w:val="%4."/>
      <w:lvlJc w:val="left"/>
      <w:pPr>
        <w:tabs>
          <w:tab w:val="num" w:pos="2804"/>
        </w:tabs>
        <w:ind w:left="2804" w:hanging="360"/>
      </w:pPr>
    </w:lvl>
    <w:lvl w:ilvl="4" w:tplc="040E0019" w:tentative="1">
      <w:start w:val="1"/>
      <w:numFmt w:val="lowerLetter"/>
      <w:lvlText w:val="%5."/>
      <w:lvlJc w:val="left"/>
      <w:pPr>
        <w:tabs>
          <w:tab w:val="num" w:pos="3524"/>
        </w:tabs>
        <w:ind w:left="3524" w:hanging="360"/>
      </w:pPr>
    </w:lvl>
    <w:lvl w:ilvl="5" w:tplc="040E001B" w:tentative="1">
      <w:start w:val="1"/>
      <w:numFmt w:val="lowerRoman"/>
      <w:lvlText w:val="%6."/>
      <w:lvlJc w:val="right"/>
      <w:pPr>
        <w:tabs>
          <w:tab w:val="num" w:pos="4244"/>
        </w:tabs>
        <w:ind w:left="4244" w:hanging="180"/>
      </w:pPr>
    </w:lvl>
    <w:lvl w:ilvl="6" w:tplc="040E000F" w:tentative="1">
      <w:start w:val="1"/>
      <w:numFmt w:val="decimal"/>
      <w:lvlText w:val="%7."/>
      <w:lvlJc w:val="left"/>
      <w:pPr>
        <w:tabs>
          <w:tab w:val="num" w:pos="4964"/>
        </w:tabs>
        <w:ind w:left="4964" w:hanging="360"/>
      </w:pPr>
    </w:lvl>
    <w:lvl w:ilvl="7" w:tplc="040E0019" w:tentative="1">
      <w:start w:val="1"/>
      <w:numFmt w:val="lowerLetter"/>
      <w:lvlText w:val="%8."/>
      <w:lvlJc w:val="left"/>
      <w:pPr>
        <w:tabs>
          <w:tab w:val="num" w:pos="5684"/>
        </w:tabs>
        <w:ind w:left="5684" w:hanging="360"/>
      </w:pPr>
    </w:lvl>
    <w:lvl w:ilvl="8" w:tplc="040E001B" w:tentative="1">
      <w:start w:val="1"/>
      <w:numFmt w:val="lowerRoman"/>
      <w:lvlText w:val="%9."/>
      <w:lvlJc w:val="right"/>
      <w:pPr>
        <w:tabs>
          <w:tab w:val="num" w:pos="6404"/>
        </w:tabs>
        <w:ind w:left="6404" w:hanging="180"/>
      </w:pPr>
    </w:lvl>
  </w:abstractNum>
  <w:abstractNum w:abstractNumId="30" w15:restartNumberingAfterBreak="0">
    <w:nsid w:val="327E531C"/>
    <w:multiLevelType w:val="hybridMultilevel"/>
    <w:tmpl w:val="9B7A3300"/>
    <w:lvl w:ilvl="0" w:tplc="040E0005">
      <w:start w:val="1"/>
      <w:numFmt w:val="bullet"/>
      <w:lvlText w:val=""/>
      <w:lvlJc w:val="left"/>
      <w:pPr>
        <w:tabs>
          <w:tab w:val="num" w:pos="720"/>
        </w:tabs>
        <w:ind w:left="720" w:hanging="360"/>
      </w:pPr>
      <w:rPr>
        <w:rFonts w:ascii="Wingdings" w:hAnsi="Wingdings" w:hint="default"/>
      </w:rPr>
    </w:lvl>
    <w:lvl w:ilvl="1" w:tplc="F912D6E2" w:tentative="1">
      <w:start w:val="1"/>
      <w:numFmt w:val="bullet"/>
      <w:lvlText w:val="•"/>
      <w:lvlJc w:val="left"/>
      <w:pPr>
        <w:tabs>
          <w:tab w:val="num" w:pos="1440"/>
        </w:tabs>
        <w:ind w:left="1440" w:hanging="360"/>
      </w:pPr>
      <w:rPr>
        <w:rFonts w:ascii="Arial" w:hAnsi="Arial" w:hint="default"/>
      </w:rPr>
    </w:lvl>
    <w:lvl w:ilvl="2" w:tplc="5B0C4FDC" w:tentative="1">
      <w:start w:val="1"/>
      <w:numFmt w:val="bullet"/>
      <w:lvlText w:val="•"/>
      <w:lvlJc w:val="left"/>
      <w:pPr>
        <w:tabs>
          <w:tab w:val="num" w:pos="2160"/>
        </w:tabs>
        <w:ind w:left="2160" w:hanging="360"/>
      </w:pPr>
      <w:rPr>
        <w:rFonts w:ascii="Arial" w:hAnsi="Arial" w:hint="default"/>
      </w:rPr>
    </w:lvl>
    <w:lvl w:ilvl="3" w:tplc="3B327490" w:tentative="1">
      <w:start w:val="1"/>
      <w:numFmt w:val="bullet"/>
      <w:lvlText w:val="•"/>
      <w:lvlJc w:val="left"/>
      <w:pPr>
        <w:tabs>
          <w:tab w:val="num" w:pos="2880"/>
        </w:tabs>
        <w:ind w:left="2880" w:hanging="360"/>
      </w:pPr>
      <w:rPr>
        <w:rFonts w:ascii="Arial" w:hAnsi="Arial" w:hint="default"/>
      </w:rPr>
    </w:lvl>
    <w:lvl w:ilvl="4" w:tplc="38E89D8C" w:tentative="1">
      <w:start w:val="1"/>
      <w:numFmt w:val="bullet"/>
      <w:lvlText w:val="•"/>
      <w:lvlJc w:val="left"/>
      <w:pPr>
        <w:tabs>
          <w:tab w:val="num" w:pos="3600"/>
        </w:tabs>
        <w:ind w:left="3600" w:hanging="360"/>
      </w:pPr>
      <w:rPr>
        <w:rFonts w:ascii="Arial" w:hAnsi="Arial" w:hint="default"/>
      </w:rPr>
    </w:lvl>
    <w:lvl w:ilvl="5" w:tplc="816EC514" w:tentative="1">
      <w:start w:val="1"/>
      <w:numFmt w:val="bullet"/>
      <w:lvlText w:val="•"/>
      <w:lvlJc w:val="left"/>
      <w:pPr>
        <w:tabs>
          <w:tab w:val="num" w:pos="4320"/>
        </w:tabs>
        <w:ind w:left="4320" w:hanging="360"/>
      </w:pPr>
      <w:rPr>
        <w:rFonts w:ascii="Arial" w:hAnsi="Arial" w:hint="default"/>
      </w:rPr>
    </w:lvl>
    <w:lvl w:ilvl="6" w:tplc="1C1A666E" w:tentative="1">
      <w:start w:val="1"/>
      <w:numFmt w:val="bullet"/>
      <w:lvlText w:val="•"/>
      <w:lvlJc w:val="left"/>
      <w:pPr>
        <w:tabs>
          <w:tab w:val="num" w:pos="5040"/>
        </w:tabs>
        <w:ind w:left="5040" w:hanging="360"/>
      </w:pPr>
      <w:rPr>
        <w:rFonts w:ascii="Arial" w:hAnsi="Arial" w:hint="default"/>
      </w:rPr>
    </w:lvl>
    <w:lvl w:ilvl="7" w:tplc="F754FB74" w:tentative="1">
      <w:start w:val="1"/>
      <w:numFmt w:val="bullet"/>
      <w:lvlText w:val="•"/>
      <w:lvlJc w:val="left"/>
      <w:pPr>
        <w:tabs>
          <w:tab w:val="num" w:pos="5760"/>
        </w:tabs>
        <w:ind w:left="5760" w:hanging="360"/>
      </w:pPr>
      <w:rPr>
        <w:rFonts w:ascii="Arial" w:hAnsi="Arial" w:hint="default"/>
      </w:rPr>
    </w:lvl>
    <w:lvl w:ilvl="8" w:tplc="5C28D4D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58A2A75"/>
    <w:multiLevelType w:val="hybridMultilevel"/>
    <w:tmpl w:val="EEA2855A"/>
    <w:lvl w:ilvl="0" w:tplc="511607DE">
      <w:start w:val="1"/>
      <w:numFmt w:val="bullet"/>
      <w:pStyle w:val="felsorols"/>
      <w:lvlText w:val=""/>
      <w:lvlJc w:val="left"/>
      <w:pPr>
        <w:ind w:left="1121" w:hanging="360"/>
      </w:pPr>
      <w:rPr>
        <w:rFonts w:ascii="Wingdings" w:hAnsi="Wingdings" w:hint="default"/>
        <w:sz w:val="18"/>
        <w:szCs w:val="18"/>
      </w:rPr>
    </w:lvl>
    <w:lvl w:ilvl="1" w:tplc="040E0003" w:tentative="1">
      <w:start w:val="1"/>
      <w:numFmt w:val="bullet"/>
      <w:lvlText w:val="o"/>
      <w:lvlJc w:val="left"/>
      <w:pPr>
        <w:ind w:left="1841" w:hanging="360"/>
      </w:pPr>
      <w:rPr>
        <w:rFonts w:ascii="Courier New" w:hAnsi="Courier New" w:cs="Courier New" w:hint="default"/>
      </w:rPr>
    </w:lvl>
    <w:lvl w:ilvl="2" w:tplc="040E0005" w:tentative="1">
      <w:start w:val="1"/>
      <w:numFmt w:val="bullet"/>
      <w:lvlText w:val=""/>
      <w:lvlJc w:val="left"/>
      <w:pPr>
        <w:ind w:left="2561" w:hanging="360"/>
      </w:pPr>
      <w:rPr>
        <w:rFonts w:ascii="Wingdings" w:hAnsi="Wingdings" w:hint="default"/>
      </w:rPr>
    </w:lvl>
    <w:lvl w:ilvl="3" w:tplc="040E0001" w:tentative="1">
      <w:start w:val="1"/>
      <w:numFmt w:val="bullet"/>
      <w:lvlText w:val=""/>
      <w:lvlJc w:val="left"/>
      <w:pPr>
        <w:ind w:left="3281" w:hanging="360"/>
      </w:pPr>
      <w:rPr>
        <w:rFonts w:ascii="Symbol" w:hAnsi="Symbol" w:hint="default"/>
      </w:rPr>
    </w:lvl>
    <w:lvl w:ilvl="4" w:tplc="040E0003" w:tentative="1">
      <w:start w:val="1"/>
      <w:numFmt w:val="bullet"/>
      <w:lvlText w:val="o"/>
      <w:lvlJc w:val="left"/>
      <w:pPr>
        <w:ind w:left="4001" w:hanging="360"/>
      </w:pPr>
      <w:rPr>
        <w:rFonts w:ascii="Courier New" w:hAnsi="Courier New" w:cs="Courier New" w:hint="default"/>
      </w:rPr>
    </w:lvl>
    <w:lvl w:ilvl="5" w:tplc="040E0005" w:tentative="1">
      <w:start w:val="1"/>
      <w:numFmt w:val="bullet"/>
      <w:lvlText w:val=""/>
      <w:lvlJc w:val="left"/>
      <w:pPr>
        <w:ind w:left="4721" w:hanging="360"/>
      </w:pPr>
      <w:rPr>
        <w:rFonts w:ascii="Wingdings" w:hAnsi="Wingdings" w:hint="default"/>
      </w:rPr>
    </w:lvl>
    <w:lvl w:ilvl="6" w:tplc="040E0001" w:tentative="1">
      <w:start w:val="1"/>
      <w:numFmt w:val="bullet"/>
      <w:lvlText w:val=""/>
      <w:lvlJc w:val="left"/>
      <w:pPr>
        <w:ind w:left="5441" w:hanging="360"/>
      </w:pPr>
      <w:rPr>
        <w:rFonts w:ascii="Symbol" w:hAnsi="Symbol" w:hint="default"/>
      </w:rPr>
    </w:lvl>
    <w:lvl w:ilvl="7" w:tplc="040E0003" w:tentative="1">
      <w:start w:val="1"/>
      <w:numFmt w:val="bullet"/>
      <w:lvlText w:val="o"/>
      <w:lvlJc w:val="left"/>
      <w:pPr>
        <w:ind w:left="6161" w:hanging="360"/>
      </w:pPr>
      <w:rPr>
        <w:rFonts w:ascii="Courier New" w:hAnsi="Courier New" w:cs="Courier New" w:hint="default"/>
      </w:rPr>
    </w:lvl>
    <w:lvl w:ilvl="8" w:tplc="040E0005" w:tentative="1">
      <w:start w:val="1"/>
      <w:numFmt w:val="bullet"/>
      <w:lvlText w:val=""/>
      <w:lvlJc w:val="left"/>
      <w:pPr>
        <w:ind w:left="6881" w:hanging="360"/>
      </w:pPr>
      <w:rPr>
        <w:rFonts w:ascii="Wingdings" w:hAnsi="Wingdings" w:hint="default"/>
      </w:rPr>
    </w:lvl>
  </w:abstractNum>
  <w:abstractNum w:abstractNumId="32" w15:restartNumberingAfterBreak="0">
    <w:nsid w:val="3736639A"/>
    <w:multiLevelType w:val="multilevel"/>
    <w:tmpl w:val="D39235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7516172"/>
    <w:multiLevelType w:val="hybridMultilevel"/>
    <w:tmpl w:val="2AF67654"/>
    <w:lvl w:ilvl="0" w:tplc="FFFFFFFF">
      <w:start w:val="1"/>
      <w:numFmt w:val="bullet"/>
      <w:lvlText w:val=""/>
      <w:lvlJc w:val="left"/>
      <w:pPr>
        <w:ind w:left="720" w:hanging="360"/>
      </w:pPr>
      <w:rPr>
        <w:rFonts w:ascii="Symbol" w:hAnsi="Symbol" w:hint="default"/>
      </w:rPr>
    </w:lvl>
    <w:lvl w:ilvl="1" w:tplc="865E2B2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A569BA"/>
    <w:multiLevelType w:val="hybridMultilevel"/>
    <w:tmpl w:val="A316FC5E"/>
    <w:lvl w:ilvl="0" w:tplc="865E2B2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E4C3AC0"/>
    <w:multiLevelType w:val="hybridMultilevel"/>
    <w:tmpl w:val="2A2A16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E5334F2"/>
    <w:multiLevelType w:val="hybridMultilevel"/>
    <w:tmpl w:val="D3DAF43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418F528D"/>
    <w:multiLevelType w:val="hybridMultilevel"/>
    <w:tmpl w:val="884C34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43A13096"/>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43EE3A6E"/>
    <w:multiLevelType w:val="hybridMultilevel"/>
    <w:tmpl w:val="8946C314"/>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3F678D8"/>
    <w:multiLevelType w:val="multilevel"/>
    <w:tmpl w:val="B706D18A"/>
    <w:lvl w:ilvl="0">
      <w:start w:val="1"/>
      <w:numFmt w:val="decimal"/>
      <w:lvlText w:val="%1."/>
      <w:lvlJc w:val="left"/>
      <w:pPr>
        <w:ind w:left="432" w:hanging="432"/>
      </w:pPr>
      <w:rPr>
        <w:rFonts w:hint="default"/>
      </w:rPr>
    </w:lvl>
    <w:lvl w:ilvl="1">
      <w:start w:val="1"/>
      <w:numFmt w:val="decimal"/>
      <w:lvlText w:val="%1.%2."/>
      <w:lvlJc w:val="left"/>
      <w:pPr>
        <w:ind w:left="171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6667A10"/>
    <w:multiLevelType w:val="multilevel"/>
    <w:tmpl w:val="F2821BD4"/>
    <w:lvl w:ilvl="0">
      <w:start w:val="1"/>
      <w:numFmt w:val="decimal"/>
      <w:pStyle w:val="Szdcmsor1"/>
      <w:lvlText w:val="%1."/>
      <w:lvlJc w:val="left"/>
      <w:pPr>
        <w:tabs>
          <w:tab w:val="num" w:pos="972"/>
        </w:tabs>
        <w:ind w:left="972" w:hanging="432"/>
      </w:pPr>
      <w:rPr>
        <w:rFonts w:hint="default"/>
      </w:rPr>
    </w:lvl>
    <w:lvl w:ilvl="1">
      <w:start w:val="1"/>
      <w:numFmt w:val="decimal"/>
      <w:pStyle w:val="Szdcmsor2"/>
      <w:lvlText w:val="%1.%2."/>
      <w:lvlJc w:val="left"/>
      <w:pPr>
        <w:tabs>
          <w:tab w:val="num" w:pos="1296"/>
        </w:tabs>
        <w:ind w:left="1296" w:hanging="576"/>
      </w:pPr>
      <w:rPr>
        <w:rFonts w:hint="default"/>
      </w:rPr>
    </w:lvl>
    <w:lvl w:ilvl="2">
      <w:start w:val="1"/>
      <w:numFmt w:val="decimal"/>
      <w:pStyle w:val="Szdcmsor3"/>
      <w:lvlText w:val="%1.%2.%3."/>
      <w:lvlJc w:val="left"/>
      <w:pPr>
        <w:tabs>
          <w:tab w:val="num" w:pos="1260"/>
        </w:tabs>
        <w:ind w:left="126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42" w15:restartNumberingAfterBreak="0">
    <w:nsid w:val="468239FC"/>
    <w:multiLevelType w:val="multilevel"/>
    <w:tmpl w:val="BD5E5EF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3" w15:restartNumberingAfterBreak="0">
    <w:nsid w:val="47135568"/>
    <w:multiLevelType w:val="hybridMultilevel"/>
    <w:tmpl w:val="987A1D50"/>
    <w:lvl w:ilvl="0" w:tplc="040E0005">
      <w:start w:val="1"/>
      <w:numFmt w:val="bullet"/>
      <w:lvlText w:val=""/>
      <w:lvlJc w:val="left"/>
      <w:pPr>
        <w:tabs>
          <w:tab w:val="num" w:pos="360"/>
        </w:tabs>
        <w:ind w:left="360" w:hanging="360"/>
      </w:pPr>
      <w:rPr>
        <w:rFonts w:ascii="Wingdings" w:hAnsi="Wingdings" w:hint="default"/>
      </w:rPr>
    </w:lvl>
    <w:lvl w:ilvl="1" w:tplc="BF3E3E4E">
      <w:start w:val="1"/>
      <w:numFmt w:val="bullet"/>
      <w:lvlText w:val="•"/>
      <w:lvlJc w:val="left"/>
      <w:pPr>
        <w:tabs>
          <w:tab w:val="num" w:pos="1080"/>
        </w:tabs>
        <w:ind w:left="1080" w:hanging="360"/>
      </w:pPr>
      <w:rPr>
        <w:rFonts w:ascii="Times New Roman" w:hAnsi="Times New Roman" w:hint="default"/>
      </w:rPr>
    </w:lvl>
    <w:lvl w:ilvl="2" w:tplc="BB7070D2" w:tentative="1">
      <w:start w:val="1"/>
      <w:numFmt w:val="bullet"/>
      <w:lvlText w:val="•"/>
      <w:lvlJc w:val="left"/>
      <w:pPr>
        <w:tabs>
          <w:tab w:val="num" w:pos="1800"/>
        </w:tabs>
        <w:ind w:left="1800" w:hanging="360"/>
      </w:pPr>
      <w:rPr>
        <w:rFonts w:ascii="Times New Roman" w:hAnsi="Times New Roman" w:hint="default"/>
      </w:rPr>
    </w:lvl>
    <w:lvl w:ilvl="3" w:tplc="86B6555C" w:tentative="1">
      <w:start w:val="1"/>
      <w:numFmt w:val="bullet"/>
      <w:lvlText w:val="•"/>
      <w:lvlJc w:val="left"/>
      <w:pPr>
        <w:tabs>
          <w:tab w:val="num" w:pos="2520"/>
        </w:tabs>
        <w:ind w:left="2520" w:hanging="360"/>
      </w:pPr>
      <w:rPr>
        <w:rFonts w:ascii="Times New Roman" w:hAnsi="Times New Roman" w:hint="default"/>
      </w:rPr>
    </w:lvl>
    <w:lvl w:ilvl="4" w:tplc="12D014BE" w:tentative="1">
      <w:start w:val="1"/>
      <w:numFmt w:val="bullet"/>
      <w:lvlText w:val="•"/>
      <w:lvlJc w:val="left"/>
      <w:pPr>
        <w:tabs>
          <w:tab w:val="num" w:pos="3240"/>
        </w:tabs>
        <w:ind w:left="3240" w:hanging="360"/>
      </w:pPr>
      <w:rPr>
        <w:rFonts w:ascii="Times New Roman" w:hAnsi="Times New Roman" w:hint="default"/>
      </w:rPr>
    </w:lvl>
    <w:lvl w:ilvl="5" w:tplc="F96688DA" w:tentative="1">
      <w:start w:val="1"/>
      <w:numFmt w:val="bullet"/>
      <w:lvlText w:val="•"/>
      <w:lvlJc w:val="left"/>
      <w:pPr>
        <w:tabs>
          <w:tab w:val="num" w:pos="3960"/>
        </w:tabs>
        <w:ind w:left="3960" w:hanging="360"/>
      </w:pPr>
      <w:rPr>
        <w:rFonts w:ascii="Times New Roman" w:hAnsi="Times New Roman" w:hint="default"/>
      </w:rPr>
    </w:lvl>
    <w:lvl w:ilvl="6" w:tplc="7C961040" w:tentative="1">
      <w:start w:val="1"/>
      <w:numFmt w:val="bullet"/>
      <w:lvlText w:val="•"/>
      <w:lvlJc w:val="left"/>
      <w:pPr>
        <w:tabs>
          <w:tab w:val="num" w:pos="4680"/>
        </w:tabs>
        <w:ind w:left="4680" w:hanging="360"/>
      </w:pPr>
      <w:rPr>
        <w:rFonts w:ascii="Times New Roman" w:hAnsi="Times New Roman" w:hint="default"/>
      </w:rPr>
    </w:lvl>
    <w:lvl w:ilvl="7" w:tplc="C9346938" w:tentative="1">
      <w:start w:val="1"/>
      <w:numFmt w:val="bullet"/>
      <w:lvlText w:val="•"/>
      <w:lvlJc w:val="left"/>
      <w:pPr>
        <w:tabs>
          <w:tab w:val="num" w:pos="5400"/>
        </w:tabs>
        <w:ind w:left="5400" w:hanging="360"/>
      </w:pPr>
      <w:rPr>
        <w:rFonts w:ascii="Times New Roman" w:hAnsi="Times New Roman" w:hint="default"/>
      </w:rPr>
    </w:lvl>
    <w:lvl w:ilvl="8" w:tplc="154AFC92" w:tentative="1">
      <w:start w:val="1"/>
      <w:numFmt w:val="bullet"/>
      <w:lvlText w:val="•"/>
      <w:lvlJc w:val="left"/>
      <w:pPr>
        <w:tabs>
          <w:tab w:val="num" w:pos="6120"/>
        </w:tabs>
        <w:ind w:left="6120" w:hanging="360"/>
      </w:pPr>
      <w:rPr>
        <w:rFonts w:ascii="Times New Roman" w:hAnsi="Times New Roman" w:hint="default"/>
      </w:rPr>
    </w:lvl>
  </w:abstractNum>
  <w:abstractNum w:abstractNumId="44" w15:restartNumberingAfterBreak="0">
    <w:nsid w:val="4A490BFB"/>
    <w:multiLevelType w:val="hybridMultilevel"/>
    <w:tmpl w:val="864A3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B082E30"/>
    <w:multiLevelType w:val="hybridMultilevel"/>
    <w:tmpl w:val="36525468"/>
    <w:lvl w:ilvl="0" w:tplc="865E2B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4B8020BE"/>
    <w:multiLevelType w:val="hybridMultilevel"/>
    <w:tmpl w:val="B144000E"/>
    <w:lvl w:ilvl="0" w:tplc="040E0005">
      <w:start w:val="1"/>
      <w:numFmt w:val="bullet"/>
      <w:lvlText w:val=""/>
      <w:lvlJc w:val="left"/>
      <w:pPr>
        <w:ind w:left="360" w:hanging="360"/>
      </w:pPr>
      <w:rPr>
        <w:rFonts w:ascii="Wingdings" w:hAnsi="Wingdings" w:hint="default"/>
      </w:rPr>
    </w:lvl>
    <w:lvl w:ilvl="1" w:tplc="040E0001">
      <w:start w:val="1"/>
      <w:numFmt w:val="bullet"/>
      <w:lvlText w:val=""/>
      <w:lvlJc w:val="left"/>
      <w:pPr>
        <w:ind w:left="1080" w:hanging="360"/>
      </w:pPr>
      <w:rPr>
        <w:rFonts w:ascii="Symbol" w:hAnsi="Symbol" w:hint="default"/>
      </w:rPr>
    </w:lvl>
    <w:lvl w:ilvl="2" w:tplc="040E0001">
      <w:start w:val="1"/>
      <w:numFmt w:val="bullet"/>
      <w:lvlText w:val=""/>
      <w:lvlJc w:val="left"/>
      <w:pPr>
        <w:ind w:left="1800" w:hanging="360"/>
      </w:pPr>
      <w:rPr>
        <w:rFonts w:ascii="Symbol" w:hAnsi="Symbol"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7" w15:restartNumberingAfterBreak="0">
    <w:nsid w:val="4D0C0B62"/>
    <w:multiLevelType w:val="hybridMultilevel"/>
    <w:tmpl w:val="BBAE87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4D230DAE"/>
    <w:multiLevelType w:val="hybridMultilevel"/>
    <w:tmpl w:val="DFD0B25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4E96094D"/>
    <w:multiLevelType w:val="hybridMultilevel"/>
    <w:tmpl w:val="F9E2DFD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5136453D"/>
    <w:multiLevelType w:val="hybridMultilevel"/>
    <w:tmpl w:val="FF0E6DC6"/>
    <w:lvl w:ilvl="0" w:tplc="040E0005">
      <w:start w:val="1"/>
      <w:numFmt w:val="bullet"/>
      <w:lvlText w:val=""/>
      <w:lvlJc w:val="left"/>
      <w:pPr>
        <w:tabs>
          <w:tab w:val="num" w:pos="360"/>
        </w:tabs>
        <w:ind w:left="360" w:hanging="360"/>
      </w:pPr>
      <w:rPr>
        <w:rFonts w:ascii="Wingdings" w:hAnsi="Wingdings" w:hint="default"/>
      </w:rPr>
    </w:lvl>
    <w:lvl w:ilvl="1" w:tplc="A2BEDB06" w:tentative="1">
      <w:start w:val="1"/>
      <w:numFmt w:val="bullet"/>
      <w:lvlText w:val="•"/>
      <w:lvlJc w:val="left"/>
      <w:pPr>
        <w:tabs>
          <w:tab w:val="num" w:pos="1080"/>
        </w:tabs>
        <w:ind w:left="1080" w:hanging="360"/>
      </w:pPr>
      <w:rPr>
        <w:rFonts w:ascii="Arial" w:hAnsi="Arial" w:hint="default"/>
      </w:rPr>
    </w:lvl>
    <w:lvl w:ilvl="2" w:tplc="29F62AA8" w:tentative="1">
      <w:start w:val="1"/>
      <w:numFmt w:val="bullet"/>
      <w:lvlText w:val="•"/>
      <w:lvlJc w:val="left"/>
      <w:pPr>
        <w:tabs>
          <w:tab w:val="num" w:pos="1800"/>
        </w:tabs>
        <w:ind w:left="1800" w:hanging="360"/>
      </w:pPr>
      <w:rPr>
        <w:rFonts w:ascii="Arial" w:hAnsi="Arial" w:hint="default"/>
      </w:rPr>
    </w:lvl>
    <w:lvl w:ilvl="3" w:tplc="D2CC9BA8" w:tentative="1">
      <w:start w:val="1"/>
      <w:numFmt w:val="bullet"/>
      <w:lvlText w:val="•"/>
      <w:lvlJc w:val="left"/>
      <w:pPr>
        <w:tabs>
          <w:tab w:val="num" w:pos="2520"/>
        </w:tabs>
        <w:ind w:left="2520" w:hanging="360"/>
      </w:pPr>
      <w:rPr>
        <w:rFonts w:ascii="Arial" w:hAnsi="Arial" w:hint="default"/>
      </w:rPr>
    </w:lvl>
    <w:lvl w:ilvl="4" w:tplc="E81400D6" w:tentative="1">
      <w:start w:val="1"/>
      <w:numFmt w:val="bullet"/>
      <w:lvlText w:val="•"/>
      <w:lvlJc w:val="left"/>
      <w:pPr>
        <w:tabs>
          <w:tab w:val="num" w:pos="3240"/>
        </w:tabs>
        <w:ind w:left="3240" w:hanging="360"/>
      </w:pPr>
      <w:rPr>
        <w:rFonts w:ascii="Arial" w:hAnsi="Arial" w:hint="default"/>
      </w:rPr>
    </w:lvl>
    <w:lvl w:ilvl="5" w:tplc="4A5AE214" w:tentative="1">
      <w:start w:val="1"/>
      <w:numFmt w:val="bullet"/>
      <w:lvlText w:val="•"/>
      <w:lvlJc w:val="left"/>
      <w:pPr>
        <w:tabs>
          <w:tab w:val="num" w:pos="3960"/>
        </w:tabs>
        <w:ind w:left="3960" w:hanging="360"/>
      </w:pPr>
      <w:rPr>
        <w:rFonts w:ascii="Arial" w:hAnsi="Arial" w:hint="default"/>
      </w:rPr>
    </w:lvl>
    <w:lvl w:ilvl="6" w:tplc="DBBC6A90" w:tentative="1">
      <w:start w:val="1"/>
      <w:numFmt w:val="bullet"/>
      <w:lvlText w:val="•"/>
      <w:lvlJc w:val="left"/>
      <w:pPr>
        <w:tabs>
          <w:tab w:val="num" w:pos="4680"/>
        </w:tabs>
        <w:ind w:left="4680" w:hanging="360"/>
      </w:pPr>
      <w:rPr>
        <w:rFonts w:ascii="Arial" w:hAnsi="Arial" w:hint="default"/>
      </w:rPr>
    </w:lvl>
    <w:lvl w:ilvl="7" w:tplc="98882AC2" w:tentative="1">
      <w:start w:val="1"/>
      <w:numFmt w:val="bullet"/>
      <w:lvlText w:val="•"/>
      <w:lvlJc w:val="left"/>
      <w:pPr>
        <w:tabs>
          <w:tab w:val="num" w:pos="5400"/>
        </w:tabs>
        <w:ind w:left="5400" w:hanging="360"/>
      </w:pPr>
      <w:rPr>
        <w:rFonts w:ascii="Arial" w:hAnsi="Arial" w:hint="default"/>
      </w:rPr>
    </w:lvl>
    <w:lvl w:ilvl="8" w:tplc="AC280592" w:tentative="1">
      <w:start w:val="1"/>
      <w:numFmt w:val="bullet"/>
      <w:lvlText w:val="•"/>
      <w:lvlJc w:val="left"/>
      <w:pPr>
        <w:tabs>
          <w:tab w:val="num" w:pos="6120"/>
        </w:tabs>
        <w:ind w:left="6120" w:hanging="360"/>
      </w:pPr>
      <w:rPr>
        <w:rFonts w:ascii="Arial" w:hAnsi="Arial" w:hint="default"/>
      </w:rPr>
    </w:lvl>
  </w:abstractNum>
  <w:abstractNum w:abstractNumId="51" w15:restartNumberingAfterBreak="0">
    <w:nsid w:val="51AD2E0C"/>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2106A42"/>
    <w:multiLevelType w:val="hybridMultilevel"/>
    <w:tmpl w:val="5FD278A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522D59B9"/>
    <w:multiLevelType w:val="hybridMultilevel"/>
    <w:tmpl w:val="95A66F72"/>
    <w:lvl w:ilvl="0" w:tplc="040E0005">
      <w:start w:val="1"/>
      <w:numFmt w:val="bullet"/>
      <w:lvlText w:val=""/>
      <w:lvlJc w:val="left"/>
      <w:pPr>
        <w:tabs>
          <w:tab w:val="num" w:pos="360"/>
        </w:tabs>
        <w:ind w:left="360" w:hanging="360"/>
      </w:pPr>
      <w:rPr>
        <w:rFonts w:ascii="Wingdings" w:hAnsi="Wingdings" w:hint="default"/>
      </w:rPr>
    </w:lvl>
    <w:lvl w:ilvl="1" w:tplc="BF244250">
      <w:start w:val="1"/>
      <w:numFmt w:val="bullet"/>
      <w:lvlText w:val="•"/>
      <w:lvlJc w:val="left"/>
      <w:pPr>
        <w:tabs>
          <w:tab w:val="num" w:pos="1080"/>
        </w:tabs>
        <w:ind w:left="1080" w:hanging="360"/>
      </w:pPr>
      <w:rPr>
        <w:rFonts w:ascii="Times New Roman" w:hAnsi="Times New Roman" w:hint="default"/>
      </w:rPr>
    </w:lvl>
    <w:lvl w:ilvl="2" w:tplc="6FD0E5BA">
      <w:start w:val="1"/>
      <w:numFmt w:val="bullet"/>
      <w:lvlText w:val="•"/>
      <w:lvlJc w:val="left"/>
      <w:pPr>
        <w:tabs>
          <w:tab w:val="num" w:pos="1800"/>
        </w:tabs>
        <w:ind w:left="1800" w:hanging="360"/>
      </w:pPr>
      <w:rPr>
        <w:rFonts w:ascii="Times New Roman" w:hAnsi="Times New Roman" w:hint="default"/>
      </w:rPr>
    </w:lvl>
    <w:lvl w:ilvl="3" w:tplc="96B06F1E" w:tentative="1">
      <w:start w:val="1"/>
      <w:numFmt w:val="bullet"/>
      <w:lvlText w:val="•"/>
      <w:lvlJc w:val="left"/>
      <w:pPr>
        <w:tabs>
          <w:tab w:val="num" w:pos="2520"/>
        </w:tabs>
        <w:ind w:left="2520" w:hanging="360"/>
      </w:pPr>
      <w:rPr>
        <w:rFonts w:ascii="Times New Roman" w:hAnsi="Times New Roman" w:hint="default"/>
      </w:rPr>
    </w:lvl>
    <w:lvl w:ilvl="4" w:tplc="3B6AD860" w:tentative="1">
      <w:start w:val="1"/>
      <w:numFmt w:val="bullet"/>
      <w:lvlText w:val="•"/>
      <w:lvlJc w:val="left"/>
      <w:pPr>
        <w:tabs>
          <w:tab w:val="num" w:pos="3240"/>
        </w:tabs>
        <w:ind w:left="3240" w:hanging="360"/>
      </w:pPr>
      <w:rPr>
        <w:rFonts w:ascii="Times New Roman" w:hAnsi="Times New Roman" w:hint="default"/>
      </w:rPr>
    </w:lvl>
    <w:lvl w:ilvl="5" w:tplc="55B2FB90" w:tentative="1">
      <w:start w:val="1"/>
      <w:numFmt w:val="bullet"/>
      <w:lvlText w:val="•"/>
      <w:lvlJc w:val="left"/>
      <w:pPr>
        <w:tabs>
          <w:tab w:val="num" w:pos="3960"/>
        </w:tabs>
        <w:ind w:left="3960" w:hanging="360"/>
      </w:pPr>
      <w:rPr>
        <w:rFonts w:ascii="Times New Roman" w:hAnsi="Times New Roman" w:hint="default"/>
      </w:rPr>
    </w:lvl>
    <w:lvl w:ilvl="6" w:tplc="4FFAB4D8" w:tentative="1">
      <w:start w:val="1"/>
      <w:numFmt w:val="bullet"/>
      <w:lvlText w:val="•"/>
      <w:lvlJc w:val="left"/>
      <w:pPr>
        <w:tabs>
          <w:tab w:val="num" w:pos="4680"/>
        </w:tabs>
        <w:ind w:left="4680" w:hanging="360"/>
      </w:pPr>
      <w:rPr>
        <w:rFonts w:ascii="Times New Roman" w:hAnsi="Times New Roman" w:hint="default"/>
      </w:rPr>
    </w:lvl>
    <w:lvl w:ilvl="7" w:tplc="35F0A12A" w:tentative="1">
      <w:start w:val="1"/>
      <w:numFmt w:val="bullet"/>
      <w:lvlText w:val="•"/>
      <w:lvlJc w:val="left"/>
      <w:pPr>
        <w:tabs>
          <w:tab w:val="num" w:pos="5400"/>
        </w:tabs>
        <w:ind w:left="5400" w:hanging="360"/>
      </w:pPr>
      <w:rPr>
        <w:rFonts w:ascii="Times New Roman" w:hAnsi="Times New Roman" w:hint="default"/>
      </w:rPr>
    </w:lvl>
    <w:lvl w:ilvl="8" w:tplc="69C41B5C" w:tentative="1">
      <w:start w:val="1"/>
      <w:numFmt w:val="bullet"/>
      <w:lvlText w:val="•"/>
      <w:lvlJc w:val="left"/>
      <w:pPr>
        <w:tabs>
          <w:tab w:val="num" w:pos="6120"/>
        </w:tabs>
        <w:ind w:left="6120" w:hanging="360"/>
      </w:pPr>
      <w:rPr>
        <w:rFonts w:ascii="Times New Roman" w:hAnsi="Times New Roman" w:hint="default"/>
      </w:rPr>
    </w:lvl>
  </w:abstractNum>
  <w:abstractNum w:abstractNumId="54" w15:restartNumberingAfterBreak="0">
    <w:nsid w:val="52570A95"/>
    <w:multiLevelType w:val="hybridMultilevel"/>
    <w:tmpl w:val="40E4D39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5" w15:restartNumberingAfterBreak="0">
    <w:nsid w:val="54587929"/>
    <w:multiLevelType w:val="hybridMultilevel"/>
    <w:tmpl w:val="D432131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566A6E30"/>
    <w:multiLevelType w:val="hybridMultilevel"/>
    <w:tmpl w:val="E2D6D9C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57C14BA6"/>
    <w:multiLevelType w:val="hybridMultilevel"/>
    <w:tmpl w:val="BB5417F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B760482"/>
    <w:multiLevelType w:val="hybridMultilevel"/>
    <w:tmpl w:val="3678FD3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D2E735C"/>
    <w:multiLevelType w:val="singleLevel"/>
    <w:tmpl w:val="1AFA47F2"/>
    <w:lvl w:ilvl="0">
      <w:start w:val="1"/>
      <w:numFmt w:val="bullet"/>
      <w:pStyle w:val="EEMfelsorols"/>
      <w:lvlText w:val=""/>
      <w:lvlJc w:val="left"/>
      <w:pPr>
        <w:tabs>
          <w:tab w:val="num" w:pos="360"/>
        </w:tabs>
        <w:ind w:left="360" w:hanging="360"/>
      </w:pPr>
      <w:rPr>
        <w:rFonts w:ascii="Symbol" w:hAnsi="Symbol" w:hint="default"/>
      </w:rPr>
    </w:lvl>
  </w:abstractNum>
  <w:abstractNum w:abstractNumId="60" w15:restartNumberingAfterBreak="0">
    <w:nsid w:val="5E843F30"/>
    <w:multiLevelType w:val="hybridMultilevel"/>
    <w:tmpl w:val="CD6A029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1" w15:restartNumberingAfterBreak="0">
    <w:nsid w:val="5E86159C"/>
    <w:multiLevelType w:val="hybridMultilevel"/>
    <w:tmpl w:val="74986AA6"/>
    <w:lvl w:ilvl="0" w:tplc="865E2B2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604A4216"/>
    <w:multiLevelType w:val="hybridMultilevel"/>
    <w:tmpl w:val="1578FA6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62D4369C"/>
    <w:multiLevelType w:val="multilevel"/>
    <w:tmpl w:val="35D6D19E"/>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6659321A"/>
    <w:multiLevelType w:val="hybridMultilevel"/>
    <w:tmpl w:val="B596DA70"/>
    <w:lvl w:ilvl="0" w:tplc="040E0005">
      <w:start w:val="1"/>
      <w:numFmt w:val="bullet"/>
      <w:lvlText w:val=""/>
      <w:lvlJc w:val="left"/>
      <w:pPr>
        <w:tabs>
          <w:tab w:val="num" w:pos="360"/>
        </w:tabs>
        <w:ind w:left="36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6A1908E1"/>
    <w:multiLevelType w:val="hybridMultilevel"/>
    <w:tmpl w:val="43A69AD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6BA61504"/>
    <w:multiLevelType w:val="hybridMultilevel"/>
    <w:tmpl w:val="B9CE97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6CA304CD"/>
    <w:multiLevelType w:val="multilevel"/>
    <w:tmpl w:val="D39235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6D3D0C9C"/>
    <w:multiLevelType w:val="hybridMultilevel"/>
    <w:tmpl w:val="CBB219FE"/>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75A76948"/>
    <w:multiLevelType w:val="multilevel"/>
    <w:tmpl w:val="D6C4B4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5CD158F"/>
    <w:multiLevelType w:val="hybridMultilevel"/>
    <w:tmpl w:val="CFA6D298"/>
    <w:lvl w:ilvl="0" w:tplc="891A2F96">
      <w:start w:val="1"/>
      <w:numFmt w:val="bullet"/>
      <w:pStyle w:val="Stlus2"/>
      <w:lvlText w:val=""/>
      <w:lvlJc w:val="left"/>
      <w:pPr>
        <w:ind w:left="1440" w:hanging="360"/>
      </w:pPr>
      <w:rPr>
        <w:rFonts w:ascii="Wingdings" w:hAnsi="Wingdings"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71" w15:restartNumberingAfterBreak="0">
    <w:nsid w:val="7A805C38"/>
    <w:multiLevelType w:val="hybridMultilevel"/>
    <w:tmpl w:val="4A02A1BE"/>
    <w:lvl w:ilvl="0" w:tplc="040E0005">
      <w:start w:val="1"/>
      <w:numFmt w:val="bullet"/>
      <w:lvlText w:val=""/>
      <w:lvlJc w:val="left"/>
      <w:pPr>
        <w:ind w:left="360" w:hanging="360"/>
      </w:pPr>
      <w:rPr>
        <w:rFonts w:ascii="Wingdings" w:hAnsi="Wingdings"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2" w15:restartNumberingAfterBreak="0">
    <w:nsid w:val="7BAB2660"/>
    <w:multiLevelType w:val="hybridMultilevel"/>
    <w:tmpl w:val="7DB640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7E6118B6"/>
    <w:multiLevelType w:val="hybridMultilevel"/>
    <w:tmpl w:val="975C549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203370271">
    <w:abstractNumId w:val="30"/>
  </w:num>
  <w:num w:numId="2" w16cid:durableId="2107654027">
    <w:abstractNumId w:val="43"/>
  </w:num>
  <w:num w:numId="3" w16cid:durableId="749082734">
    <w:abstractNumId w:val="67"/>
  </w:num>
  <w:num w:numId="4" w16cid:durableId="445929831">
    <w:abstractNumId w:val="25"/>
  </w:num>
  <w:num w:numId="5" w16cid:durableId="1481772464">
    <w:abstractNumId w:val="32"/>
  </w:num>
  <w:num w:numId="6" w16cid:durableId="1363629174">
    <w:abstractNumId w:val="4"/>
  </w:num>
  <w:num w:numId="7" w16cid:durableId="1492676666">
    <w:abstractNumId w:val="10"/>
  </w:num>
  <w:num w:numId="8" w16cid:durableId="975063477">
    <w:abstractNumId w:val="51"/>
  </w:num>
  <w:num w:numId="9" w16cid:durableId="434911938">
    <w:abstractNumId w:val="56"/>
  </w:num>
  <w:num w:numId="10" w16cid:durableId="1308512776">
    <w:abstractNumId w:val="8"/>
  </w:num>
  <w:num w:numId="11" w16cid:durableId="652485953">
    <w:abstractNumId w:val="23"/>
  </w:num>
  <w:num w:numId="12" w16cid:durableId="104161357">
    <w:abstractNumId w:val="64"/>
  </w:num>
  <w:num w:numId="13" w16cid:durableId="1268931386">
    <w:abstractNumId w:val="58"/>
  </w:num>
  <w:num w:numId="14" w16cid:durableId="195240467">
    <w:abstractNumId w:val="53"/>
  </w:num>
  <w:num w:numId="15" w16cid:durableId="1720199904">
    <w:abstractNumId w:val="22"/>
  </w:num>
  <w:num w:numId="16" w16cid:durableId="294602626">
    <w:abstractNumId w:val="18"/>
  </w:num>
  <w:num w:numId="17" w16cid:durableId="1914705788">
    <w:abstractNumId w:val="0"/>
  </w:num>
  <w:num w:numId="18" w16cid:durableId="1743020377">
    <w:abstractNumId w:val="24"/>
  </w:num>
  <w:num w:numId="19" w16cid:durableId="1322462857">
    <w:abstractNumId w:val="49"/>
  </w:num>
  <w:num w:numId="20" w16cid:durableId="1221937049">
    <w:abstractNumId w:val="55"/>
  </w:num>
  <w:num w:numId="21" w16cid:durableId="71854319">
    <w:abstractNumId w:val="12"/>
  </w:num>
  <w:num w:numId="22" w16cid:durableId="482279491">
    <w:abstractNumId w:val="69"/>
  </w:num>
  <w:num w:numId="23" w16cid:durableId="1246454708">
    <w:abstractNumId w:val="26"/>
  </w:num>
  <w:num w:numId="24" w16cid:durableId="1490706565">
    <w:abstractNumId w:val="7"/>
  </w:num>
  <w:num w:numId="25" w16cid:durableId="633870441">
    <w:abstractNumId w:val="50"/>
  </w:num>
  <w:num w:numId="26" w16cid:durableId="634793806">
    <w:abstractNumId w:val="46"/>
  </w:num>
  <w:num w:numId="27" w16cid:durableId="628821456">
    <w:abstractNumId w:val="14"/>
  </w:num>
  <w:num w:numId="28" w16cid:durableId="1359938630">
    <w:abstractNumId w:val="71"/>
  </w:num>
  <w:num w:numId="29" w16cid:durableId="146170630">
    <w:abstractNumId w:val="21"/>
  </w:num>
  <w:num w:numId="30" w16cid:durableId="68238856">
    <w:abstractNumId w:val="39"/>
  </w:num>
  <w:num w:numId="31" w16cid:durableId="1641612070">
    <w:abstractNumId w:val="17"/>
  </w:num>
  <w:num w:numId="32" w16cid:durableId="1918828949">
    <w:abstractNumId w:val="20"/>
  </w:num>
  <w:num w:numId="33" w16cid:durableId="771322440">
    <w:abstractNumId w:val="41"/>
  </w:num>
  <w:num w:numId="34" w16cid:durableId="249698082">
    <w:abstractNumId w:val="29"/>
    <w:lvlOverride w:ilvl="0">
      <w:startOverride w:val="1"/>
    </w:lvlOverride>
  </w:num>
  <w:num w:numId="35" w16cid:durableId="412549765">
    <w:abstractNumId w:val="59"/>
  </w:num>
  <w:num w:numId="36" w16cid:durableId="1843737959">
    <w:abstractNumId w:val="31"/>
  </w:num>
  <w:num w:numId="37" w16cid:durableId="32273608">
    <w:abstractNumId w:val="70"/>
  </w:num>
  <w:num w:numId="38" w16cid:durableId="304284255">
    <w:abstractNumId w:val="42"/>
  </w:num>
  <w:num w:numId="39" w16cid:durableId="1963808157">
    <w:abstractNumId w:val="11"/>
  </w:num>
  <w:num w:numId="40" w16cid:durableId="2132279760">
    <w:abstractNumId w:val="40"/>
  </w:num>
  <w:num w:numId="41" w16cid:durableId="326633051">
    <w:abstractNumId w:val="38"/>
  </w:num>
  <w:num w:numId="42" w16cid:durableId="1455560296">
    <w:abstractNumId w:val="63"/>
  </w:num>
  <w:num w:numId="43" w16cid:durableId="2049450052">
    <w:abstractNumId w:val="57"/>
  </w:num>
  <w:num w:numId="44" w16cid:durableId="1573269190">
    <w:abstractNumId w:val="5"/>
  </w:num>
  <w:num w:numId="45" w16cid:durableId="1867979925">
    <w:abstractNumId w:val="60"/>
  </w:num>
  <w:num w:numId="46" w16cid:durableId="1185361467">
    <w:abstractNumId w:val="15"/>
  </w:num>
  <w:num w:numId="47" w16cid:durableId="298848132">
    <w:abstractNumId w:val="73"/>
  </w:num>
  <w:num w:numId="48" w16cid:durableId="120617863">
    <w:abstractNumId w:val="13"/>
  </w:num>
  <w:num w:numId="49" w16cid:durableId="501506540">
    <w:abstractNumId w:val="2"/>
  </w:num>
  <w:num w:numId="50" w16cid:durableId="772482608">
    <w:abstractNumId w:val="48"/>
  </w:num>
  <w:num w:numId="51" w16cid:durableId="858616232">
    <w:abstractNumId w:val="3"/>
  </w:num>
  <w:num w:numId="52" w16cid:durableId="253444660">
    <w:abstractNumId w:val="68"/>
  </w:num>
  <w:num w:numId="53" w16cid:durableId="779492517">
    <w:abstractNumId w:val="9"/>
  </w:num>
  <w:num w:numId="54" w16cid:durableId="22902369">
    <w:abstractNumId w:val="47"/>
  </w:num>
  <w:num w:numId="55" w16cid:durableId="1935167287">
    <w:abstractNumId w:val="35"/>
  </w:num>
  <w:num w:numId="56" w16cid:durableId="768963078">
    <w:abstractNumId w:val="72"/>
  </w:num>
  <w:num w:numId="57" w16cid:durableId="1733652970">
    <w:abstractNumId w:val="66"/>
  </w:num>
  <w:num w:numId="58" w16cid:durableId="618032392">
    <w:abstractNumId w:val="28"/>
  </w:num>
  <w:num w:numId="59" w16cid:durableId="1332486840">
    <w:abstractNumId w:val="36"/>
  </w:num>
  <w:num w:numId="60" w16cid:durableId="1730609369">
    <w:abstractNumId w:val="16"/>
  </w:num>
  <w:num w:numId="61" w16cid:durableId="1129857566">
    <w:abstractNumId w:val="6"/>
  </w:num>
  <w:num w:numId="62" w16cid:durableId="923564246">
    <w:abstractNumId w:val="54"/>
  </w:num>
  <w:num w:numId="63" w16cid:durableId="2063675279">
    <w:abstractNumId w:val="52"/>
  </w:num>
  <w:num w:numId="64" w16cid:durableId="722023176">
    <w:abstractNumId w:val="37"/>
  </w:num>
  <w:num w:numId="65" w16cid:durableId="750741243">
    <w:abstractNumId w:val="45"/>
  </w:num>
  <w:num w:numId="66" w16cid:durableId="2065328904">
    <w:abstractNumId w:val="61"/>
  </w:num>
  <w:num w:numId="67" w16cid:durableId="727800298">
    <w:abstractNumId w:val="1"/>
  </w:num>
  <w:num w:numId="68" w16cid:durableId="1010596962">
    <w:abstractNumId w:val="34"/>
  </w:num>
  <w:num w:numId="69" w16cid:durableId="1815482323">
    <w:abstractNumId w:val="62"/>
  </w:num>
  <w:num w:numId="70" w16cid:durableId="1660503517">
    <w:abstractNumId w:val="33"/>
  </w:num>
  <w:num w:numId="71" w16cid:durableId="277958106">
    <w:abstractNumId w:val="65"/>
  </w:num>
  <w:num w:numId="72" w16cid:durableId="661659359">
    <w:abstractNumId w:val="27"/>
  </w:num>
  <w:num w:numId="73" w16cid:durableId="1068115525">
    <w:abstractNumId w:val="19"/>
  </w:num>
  <w:num w:numId="74" w16cid:durableId="1439056473">
    <w:abstractNumId w:val="4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AE"/>
    <w:rsid w:val="00000525"/>
    <w:rsid w:val="0001325B"/>
    <w:rsid w:val="00032A49"/>
    <w:rsid w:val="00040B23"/>
    <w:rsid w:val="00062572"/>
    <w:rsid w:val="00067072"/>
    <w:rsid w:val="000B1076"/>
    <w:rsid w:val="000D1FDA"/>
    <w:rsid w:val="000F45B4"/>
    <w:rsid w:val="001163F3"/>
    <w:rsid w:val="001273D8"/>
    <w:rsid w:val="00133C36"/>
    <w:rsid w:val="001422ED"/>
    <w:rsid w:val="001454FD"/>
    <w:rsid w:val="00152010"/>
    <w:rsid w:val="001E0AAE"/>
    <w:rsid w:val="00211E6E"/>
    <w:rsid w:val="00222641"/>
    <w:rsid w:val="002317A2"/>
    <w:rsid w:val="00304FCC"/>
    <w:rsid w:val="00336209"/>
    <w:rsid w:val="00352FB0"/>
    <w:rsid w:val="003573F7"/>
    <w:rsid w:val="003944B7"/>
    <w:rsid w:val="003A433D"/>
    <w:rsid w:val="003B0589"/>
    <w:rsid w:val="003D12E9"/>
    <w:rsid w:val="003D50F2"/>
    <w:rsid w:val="00405F24"/>
    <w:rsid w:val="00412AFB"/>
    <w:rsid w:val="00445121"/>
    <w:rsid w:val="00473252"/>
    <w:rsid w:val="0048439E"/>
    <w:rsid w:val="00497C13"/>
    <w:rsid w:val="004D3317"/>
    <w:rsid w:val="005271EE"/>
    <w:rsid w:val="005344BB"/>
    <w:rsid w:val="005577B6"/>
    <w:rsid w:val="005923B1"/>
    <w:rsid w:val="005F1D24"/>
    <w:rsid w:val="006B3510"/>
    <w:rsid w:val="006C213D"/>
    <w:rsid w:val="006F66B1"/>
    <w:rsid w:val="00791198"/>
    <w:rsid w:val="007C5343"/>
    <w:rsid w:val="007D587C"/>
    <w:rsid w:val="00824896"/>
    <w:rsid w:val="008A3FDC"/>
    <w:rsid w:val="008D37AD"/>
    <w:rsid w:val="009148D4"/>
    <w:rsid w:val="00964E48"/>
    <w:rsid w:val="0098582F"/>
    <w:rsid w:val="009A244B"/>
    <w:rsid w:val="009A244E"/>
    <w:rsid w:val="009B28F5"/>
    <w:rsid w:val="009B739F"/>
    <w:rsid w:val="009D6142"/>
    <w:rsid w:val="009F2C7D"/>
    <w:rsid w:val="00A10313"/>
    <w:rsid w:val="00A3607A"/>
    <w:rsid w:val="00A829C3"/>
    <w:rsid w:val="00A85337"/>
    <w:rsid w:val="00AF259E"/>
    <w:rsid w:val="00B363ED"/>
    <w:rsid w:val="00B741D2"/>
    <w:rsid w:val="00BA5D17"/>
    <w:rsid w:val="00BD21F9"/>
    <w:rsid w:val="00C022AA"/>
    <w:rsid w:val="00C33081"/>
    <w:rsid w:val="00C46DB0"/>
    <w:rsid w:val="00CA77D5"/>
    <w:rsid w:val="00CB0A5E"/>
    <w:rsid w:val="00CC5656"/>
    <w:rsid w:val="00CD769A"/>
    <w:rsid w:val="00CF1D89"/>
    <w:rsid w:val="00D03AEB"/>
    <w:rsid w:val="00DB00EA"/>
    <w:rsid w:val="00DB0E3D"/>
    <w:rsid w:val="00DE39CE"/>
    <w:rsid w:val="00DF2E56"/>
    <w:rsid w:val="00E06E17"/>
    <w:rsid w:val="00E2366A"/>
    <w:rsid w:val="00E2748B"/>
    <w:rsid w:val="00EC10C5"/>
    <w:rsid w:val="00EC23E2"/>
    <w:rsid w:val="00ED73C4"/>
    <w:rsid w:val="00EE2657"/>
    <w:rsid w:val="00F2789F"/>
    <w:rsid w:val="00F32CB8"/>
    <w:rsid w:val="00F8745F"/>
    <w:rsid w:val="00FA479D"/>
    <w:rsid w:val="00FA53C7"/>
    <w:rsid w:val="00FB541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DFFEAF"/>
  <w15:chartTrackingRefBased/>
  <w15:docId w15:val="{C9B140A2-2831-443B-AC5C-C28ECEEE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829C3"/>
  </w:style>
  <w:style w:type="paragraph" w:styleId="Cmsor1">
    <w:name w:val="heading 1"/>
    <w:basedOn w:val="Norml"/>
    <w:next w:val="Norml"/>
    <w:link w:val="Cmsor1Char"/>
    <w:uiPriority w:val="9"/>
    <w:qFormat/>
    <w:rsid w:val="00A829C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Cmsor2">
    <w:name w:val="heading 2"/>
    <w:basedOn w:val="Norml"/>
    <w:next w:val="Norml"/>
    <w:link w:val="Cmsor2Char"/>
    <w:uiPriority w:val="9"/>
    <w:unhideWhenUsed/>
    <w:qFormat/>
    <w:rsid w:val="00A829C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Cmsor3">
    <w:name w:val="heading 3"/>
    <w:basedOn w:val="Norml"/>
    <w:next w:val="Norml"/>
    <w:link w:val="Cmsor3Char"/>
    <w:uiPriority w:val="9"/>
    <w:unhideWhenUsed/>
    <w:qFormat/>
    <w:rsid w:val="00A829C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Cmsor4">
    <w:name w:val="heading 4"/>
    <w:basedOn w:val="Norml"/>
    <w:next w:val="Norml"/>
    <w:link w:val="Cmsor4Char"/>
    <w:uiPriority w:val="9"/>
    <w:unhideWhenUsed/>
    <w:qFormat/>
    <w:rsid w:val="00A829C3"/>
    <w:pPr>
      <w:keepNext/>
      <w:keepLines/>
      <w:spacing w:before="40" w:after="0"/>
      <w:outlineLvl w:val="3"/>
    </w:pPr>
    <w:rPr>
      <w:rFonts w:asciiTheme="majorHAnsi" w:eastAsiaTheme="majorEastAsia" w:hAnsiTheme="majorHAnsi" w:cstheme="majorBidi"/>
      <w:i/>
      <w:iCs/>
      <w:color w:val="404040" w:themeColor="text1" w:themeTint="BF"/>
    </w:rPr>
  </w:style>
  <w:style w:type="paragraph" w:styleId="Cmsor5">
    <w:name w:val="heading 5"/>
    <w:basedOn w:val="Norml"/>
    <w:next w:val="Norml"/>
    <w:link w:val="Cmsor5Char"/>
    <w:uiPriority w:val="9"/>
    <w:semiHidden/>
    <w:unhideWhenUsed/>
    <w:qFormat/>
    <w:rsid w:val="00A829C3"/>
    <w:pPr>
      <w:keepNext/>
      <w:keepLines/>
      <w:spacing w:before="40" w:after="0"/>
      <w:outlineLvl w:val="4"/>
    </w:pPr>
    <w:rPr>
      <w:rFonts w:asciiTheme="majorHAnsi" w:eastAsiaTheme="majorEastAsia" w:hAnsiTheme="majorHAnsi" w:cstheme="majorBidi"/>
      <w:color w:val="404040" w:themeColor="text1" w:themeTint="BF"/>
    </w:rPr>
  </w:style>
  <w:style w:type="paragraph" w:styleId="Cmsor6">
    <w:name w:val="heading 6"/>
    <w:basedOn w:val="Norml"/>
    <w:next w:val="Norml"/>
    <w:link w:val="Cmsor6Char"/>
    <w:uiPriority w:val="9"/>
    <w:semiHidden/>
    <w:unhideWhenUsed/>
    <w:qFormat/>
    <w:rsid w:val="00A829C3"/>
    <w:pPr>
      <w:keepNext/>
      <w:keepLines/>
      <w:spacing w:before="40" w:after="0"/>
      <w:outlineLvl w:val="5"/>
    </w:pPr>
    <w:rPr>
      <w:rFonts w:asciiTheme="majorHAnsi" w:eastAsiaTheme="majorEastAsia" w:hAnsiTheme="majorHAnsi" w:cstheme="majorBidi"/>
    </w:rPr>
  </w:style>
  <w:style w:type="paragraph" w:styleId="Cmsor7">
    <w:name w:val="heading 7"/>
    <w:basedOn w:val="Norml"/>
    <w:next w:val="Norml"/>
    <w:link w:val="Cmsor7Char"/>
    <w:uiPriority w:val="9"/>
    <w:semiHidden/>
    <w:unhideWhenUsed/>
    <w:qFormat/>
    <w:rsid w:val="00A829C3"/>
    <w:pPr>
      <w:keepNext/>
      <w:keepLines/>
      <w:spacing w:before="40" w:after="0"/>
      <w:outlineLvl w:val="6"/>
    </w:pPr>
    <w:rPr>
      <w:rFonts w:asciiTheme="majorHAnsi" w:eastAsiaTheme="majorEastAsia" w:hAnsiTheme="majorHAnsi" w:cstheme="majorBidi"/>
      <w:i/>
      <w:iCs/>
    </w:rPr>
  </w:style>
  <w:style w:type="paragraph" w:styleId="Cmsor8">
    <w:name w:val="heading 8"/>
    <w:basedOn w:val="Norml"/>
    <w:next w:val="Norml"/>
    <w:link w:val="Cmsor8Char"/>
    <w:uiPriority w:val="9"/>
    <w:semiHidden/>
    <w:unhideWhenUsed/>
    <w:qFormat/>
    <w:rsid w:val="00A829C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Cmsor9">
    <w:name w:val="heading 9"/>
    <w:basedOn w:val="Norml"/>
    <w:next w:val="Norml"/>
    <w:link w:val="Cmsor9Char"/>
    <w:uiPriority w:val="9"/>
    <w:semiHidden/>
    <w:unhideWhenUsed/>
    <w:qFormat/>
    <w:rsid w:val="00A829C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829C3"/>
    <w:rPr>
      <w:rFonts w:asciiTheme="majorHAnsi" w:eastAsiaTheme="majorEastAsia" w:hAnsiTheme="majorHAnsi" w:cstheme="majorBidi"/>
      <w:color w:val="262626" w:themeColor="text1" w:themeTint="D9"/>
      <w:sz w:val="32"/>
      <w:szCs w:val="32"/>
    </w:rPr>
  </w:style>
  <w:style w:type="character" w:customStyle="1" w:styleId="Cmsor2Char">
    <w:name w:val="Címsor 2 Char"/>
    <w:basedOn w:val="Bekezdsalapbettpusa"/>
    <w:link w:val="Cmsor2"/>
    <w:uiPriority w:val="9"/>
    <w:rsid w:val="00A829C3"/>
    <w:rPr>
      <w:rFonts w:asciiTheme="majorHAnsi" w:eastAsiaTheme="majorEastAsia" w:hAnsiTheme="majorHAnsi" w:cstheme="majorBidi"/>
      <w:color w:val="262626" w:themeColor="text1" w:themeTint="D9"/>
      <w:sz w:val="28"/>
      <w:szCs w:val="28"/>
    </w:rPr>
  </w:style>
  <w:style w:type="character" w:customStyle="1" w:styleId="Cmsor3Char">
    <w:name w:val="Címsor 3 Char"/>
    <w:basedOn w:val="Bekezdsalapbettpusa"/>
    <w:link w:val="Cmsor3"/>
    <w:uiPriority w:val="9"/>
    <w:rsid w:val="00A829C3"/>
    <w:rPr>
      <w:rFonts w:asciiTheme="majorHAnsi" w:eastAsiaTheme="majorEastAsia" w:hAnsiTheme="majorHAnsi" w:cstheme="majorBidi"/>
      <w:color w:val="0D0D0D" w:themeColor="text1" w:themeTint="F2"/>
      <w:sz w:val="24"/>
      <w:szCs w:val="24"/>
    </w:rPr>
  </w:style>
  <w:style w:type="character" w:customStyle="1" w:styleId="Cmsor4Char">
    <w:name w:val="Címsor 4 Char"/>
    <w:basedOn w:val="Bekezdsalapbettpusa"/>
    <w:link w:val="Cmsor4"/>
    <w:uiPriority w:val="9"/>
    <w:rsid w:val="00A829C3"/>
    <w:rPr>
      <w:rFonts w:asciiTheme="majorHAnsi" w:eastAsiaTheme="majorEastAsia" w:hAnsiTheme="majorHAnsi" w:cstheme="majorBidi"/>
      <w:i/>
      <w:iCs/>
      <w:color w:val="404040" w:themeColor="text1" w:themeTint="BF"/>
    </w:rPr>
  </w:style>
  <w:style w:type="character" w:customStyle="1" w:styleId="Cmsor5Char">
    <w:name w:val="Címsor 5 Char"/>
    <w:basedOn w:val="Bekezdsalapbettpusa"/>
    <w:link w:val="Cmsor5"/>
    <w:uiPriority w:val="9"/>
    <w:semiHidden/>
    <w:rsid w:val="00A829C3"/>
    <w:rPr>
      <w:rFonts w:asciiTheme="majorHAnsi" w:eastAsiaTheme="majorEastAsia" w:hAnsiTheme="majorHAnsi" w:cstheme="majorBidi"/>
      <w:color w:val="404040" w:themeColor="text1" w:themeTint="BF"/>
    </w:rPr>
  </w:style>
  <w:style w:type="character" w:customStyle="1" w:styleId="Cmsor6Char">
    <w:name w:val="Címsor 6 Char"/>
    <w:basedOn w:val="Bekezdsalapbettpusa"/>
    <w:link w:val="Cmsor6"/>
    <w:uiPriority w:val="9"/>
    <w:semiHidden/>
    <w:rsid w:val="00A829C3"/>
    <w:rPr>
      <w:rFonts w:asciiTheme="majorHAnsi" w:eastAsiaTheme="majorEastAsia" w:hAnsiTheme="majorHAnsi" w:cstheme="majorBidi"/>
    </w:rPr>
  </w:style>
  <w:style w:type="character" w:customStyle="1" w:styleId="Cmsor7Char">
    <w:name w:val="Címsor 7 Char"/>
    <w:basedOn w:val="Bekezdsalapbettpusa"/>
    <w:link w:val="Cmsor7"/>
    <w:uiPriority w:val="9"/>
    <w:semiHidden/>
    <w:rsid w:val="00A829C3"/>
    <w:rPr>
      <w:rFonts w:asciiTheme="majorHAnsi" w:eastAsiaTheme="majorEastAsia" w:hAnsiTheme="majorHAnsi" w:cstheme="majorBidi"/>
      <w:i/>
      <w:iCs/>
    </w:rPr>
  </w:style>
  <w:style w:type="character" w:customStyle="1" w:styleId="Cmsor8Char">
    <w:name w:val="Címsor 8 Char"/>
    <w:basedOn w:val="Bekezdsalapbettpusa"/>
    <w:link w:val="Cmsor8"/>
    <w:uiPriority w:val="9"/>
    <w:semiHidden/>
    <w:rsid w:val="00A829C3"/>
    <w:rPr>
      <w:rFonts w:asciiTheme="majorHAnsi" w:eastAsiaTheme="majorEastAsia" w:hAnsiTheme="majorHAnsi" w:cstheme="majorBidi"/>
      <w:color w:val="262626" w:themeColor="text1" w:themeTint="D9"/>
      <w:sz w:val="21"/>
      <w:szCs w:val="21"/>
    </w:rPr>
  </w:style>
  <w:style w:type="character" w:customStyle="1" w:styleId="Cmsor9Char">
    <w:name w:val="Címsor 9 Char"/>
    <w:basedOn w:val="Bekezdsalapbettpusa"/>
    <w:link w:val="Cmsor9"/>
    <w:uiPriority w:val="9"/>
    <w:semiHidden/>
    <w:rsid w:val="00A829C3"/>
    <w:rPr>
      <w:rFonts w:asciiTheme="majorHAnsi" w:eastAsiaTheme="majorEastAsia" w:hAnsiTheme="majorHAnsi" w:cstheme="majorBidi"/>
      <w:i/>
      <w:iCs/>
      <w:color w:val="262626" w:themeColor="text1" w:themeTint="D9"/>
      <w:sz w:val="21"/>
      <w:szCs w:val="21"/>
    </w:rPr>
  </w:style>
  <w:style w:type="paragraph" w:styleId="Kpalrs">
    <w:name w:val="caption"/>
    <w:basedOn w:val="Norml"/>
    <w:next w:val="Norml"/>
    <w:link w:val="KpalrsChar"/>
    <w:uiPriority w:val="35"/>
    <w:unhideWhenUsed/>
    <w:qFormat/>
    <w:rsid w:val="00A829C3"/>
    <w:pPr>
      <w:spacing w:after="200" w:line="240" w:lineRule="auto"/>
    </w:pPr>
    <w:rPr>
      <w:i/>
      <w:iCs/>
      <w:color w:val="44546A" w:themeColor="text2"/>
      <w:sz w:val="18"/>
      <w:szCs w:val="18"/>
    </w:rPr>
  </w:style>
  <w:style w:type="paragraph" w:styleId="Listaszerbekezds">
    <w:name w:val="List Paragraph"/>
    <w:aliases w:val="felsorolás_MEV"/>
    <w:basedOn w:val="Norml"/>
    <w:link w:val="ListaszerbekezdsChar"/>
    <w:uiPriority w:val="34"/>
    <w:qFormat/>
    <w:rsid w:val="00BA5D17"/>
    <w:pPr>
      <w:ind w:left="720"/>
      <w:contextualSpacing/>
      <w:jc w:val="both"/>
    </w:pPr>
    <w:rPr>
      <w:rFonts w:ascii="Times New Roman" w:hAnsi="Times New Roman"/>
      <w:color w:val="000000" w:themeColor="text1"/>
      <w:sz w:val="24"/>
    </w:rPr>
  </w:style>
  <w:style w:type="paragraph" w:styleId="NormlWeb">
    <w:name w:val="Normal (Web)"/>
    <w:basedOn w:val="Norml"/>
    <w:uiPriority w:val="99"/>
    <w:unhideWhenUsed/>
    <w:rsid w:val="001E0AA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tlid-translation">
    <w:name w:val="tlid-translation"/>
    <w:basedOn w:val="Bekezdsalapbettpusa"/>
    <w:rsid w:val="001E0AAE"/>
  </w:style>
  <w:style w:type="table" w:styleId="Rcsostblzat">
    <w:name w:val="Table Grid"/>
    <w:basedOn w:val="Normltblzat"/>
    <w:uiPriority w:val="39"/>
    <w:rsid w:val="003D50F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basedOn w:val="Cmsor1"/>
    <w:next w:val="Norml"/>
    <w:uiPriority w:val="39"/>
    <w:unhideWhenUsed/>
    <w:qFormat/>
    <w:rsid w:val="00A829C3"/>
    <w:pPr>
      <w:outlineLvl w:val="9"/>
    </w:pPr>
  </w:style>
  <w:style w:type="paragraph" w:styleId="TJ1">
    <w:name w:val="toc 1"/>
    <w:basedOn w:val="Norml"/>
    <w:next w:val="Norml"/>
    <w:autoRedefine/>
    <w:uiPriority w:val="39"/>
    <w:unhideWhenUsed/>
    <w:qFormat/>
    <w:rsid w:val="004D3317"/>
    <w:pPr>
      <w:tabs>
        <w:tab w:val="left" w:pos="440"/>
        <w:tab w:val="right" w:leader="dot" w:pos="9062"/>
      </w:tabs>
      <w:spacing w:after="0" w:line="240" w:lineRule="auto"/>
    </w:pPr>
  </w:style>
  <w:style w:type="character" w:styleId="Hiperhivatkozs">
    <w:name w:val="Hyperlink"/>
    <w:basedOn w:val="Bekezdsalapbettpusa"/>
    <w:uiPriority w:val="99"/>
    <w:unhideWhenUsed/>
    <w:rsid w:val="004D3317"/>
    <w:rPr>
      <w:color w:val="0563C1" w:themeColor="hyperlink"/>
      <w:u w:val="single"/>
    </w:rPr>
  </w:style>
  <w:style w:type="paragraph" w:styleId="TJ2">
    <w:name w:val="toc 2"/>
    <w:basedOn w:val="Norml"/>
    <w:next w:val="Norml"/>
    <w:autoRedefine/>
    <w:uiPriority w:val="39"/>
    <w:unhideWhenUsed/>
    <w:rsid w:val="004D3317"/>
    <w:pPr>
      <w:tabs>
        <w:tab w:val="left" w:pos="880"/>
        <w:tab w:val="right" w:leader="dot" w:pos="9062"/>
      </w:tabs>
      <w:spacing w:after="0"/>
      <w:ind w:left="221"/>
    </w:pPr>
  </w:style>
  <w:style w:type="table" w:styleId="Tblzatrcsos1vilgos">
    <w:name w:val="Grid Table 1 Light"/>
    <w:basedOn w:val="Normltblzat"/>
    <w:uiPriority w:val="46"/>
    <w:rsid w:val="004D3317"/>
    <w:pPr>
      <w:spacing w:after="0" w:line="240" w:lineRule="auto"/>
      <w:jc w:val="both"/>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J3">
    <w:name w:val="toc 3"/>
    <w:basedOn w:val="Norml"/>
    <w:next w:val="Norml"/>
    <w:autoRedefine/>
    <w:uiPriority w:val="39"/>
    <w:unhideWhenUsed/>
    <w:rsid w:val="004D3317"/>
    <w:pPr>
      <w:tabs>
        <w:tab w:val="left" w:pos="1320"/>
        <w:tab w:val="right" w:leader="dot" w:pos="9062"/>
      </w:tabs>
      <w:spacing w:after="0" w:line="240" w:lineRule="auto"/>
      <w:ind w:left="442"/>
    </w:pPr>
  </w:style>
  <w:style w:type="character" w:customStyle="1" w:styleId="italic">
    <w:name w:val="italic"/>
    <w:basedOn w:val="Bekezdsalapbettpusa"/>
    <w:rsid w:val="004D3317"/>
  </w:style>
  <w:style w:type="table" w:styleId="Tblzatrcsos5stt1jellszn">
    <w:name w:val="Grid Table 5 Dark Accent 1"/>
    <w:basedOn w:val="Normltblzat"/>
    <w:uiPriority w:val="50"/>
    <w:rsid w:val="004D3317"/>
    <w:pPr>
      <w:spacing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Jegyzethivatkozs">
    <w:name w:val="annotation reference"/>
    <w:basedOn w:val="Bekezdsalapbettpusa"/>
    <w:uiPriority w:val="99"/>
    <w:unhideWhenUsed/>
    <w:rsid w:val="004D3317"/>
    <w:rPr>
      <w:sz w:val="16"/>
      <w:szCs w:val="16"/>
    </w:rPr>
  </w:style>
  <w:style w:type="paragraph" w:styleId="Jegyzetszveg">
    <w:name w:val="annotation text"/>
    <w:basedOn w:val="Norml"/>
    <w:link w:val="JegyzetszvegChar"/>
    <w:uiPriority w:val="99"/>
    <w:semiHidden/>
    <w:unhideWhenUsed/>
    <w:rsid w:val="004D3317"/>
    <w:pPr>
      <w:spacing w:line="240" w:lineRule="auto"/>
    </w:pPr>
    <w:rPr>
      <w:sz w:val="20"/>
      <w:szCs w:val="20"/>
    </w:rPr>
  </w:style>
  <w:style w:type="character" w:customStyle="1" w:styleId="JegyzetszvegChar">
    <w:name w:val="Jegyzetszöveg Char"/>
    <w:basedOn w:val="Bekezdsalapbettpusa"/>
    <w:link w:val="Jegyzetszveg"/>
    <w:uiPriority w:val="99"/>
    <w:semiHidden/>
    <w:rsid w:val="004D3317"/>
    <w:rPr>
      <w:rFonts w:eastAsiaTheme="minorEastAsia"/>
      <w:sz w:val="20"/>
      <w:szCs w:val="20"/>
    </w:rPr>
  </w:style>
  <w:style w:type="paragraph" w:styleId="Megjegyzstrgya">
    <w:name w:val="annotation subject"/>
    <w:basedOn w:val="Jegyzetszveg"/>
    <w:next w:val="Jegyzetszveg"/>
    <w:link w:val="MegjegyzstrgyaChar"/>
    <w:uiPriority w:val="99"/>
    <w:semiHidden/>
    <w:unhideWhenUsed/>
    <w:rsid w:val="004D3317"/>
    <w:rPr>
      <w:b/>
      <w:bCs/>
    </w:rPr>
  </w:style>
  <w:style w:type="character" w:customStyle="1" w:styleId="MegjegyzstrgyaChar">
    <w:name w:val="Megjegyzés tárgya Char"/>
    <w:basedOn w:val="JegyzetszvegChar"/>
    <w:link w:val="Megjegyzstrgya"/>
    <w:uiPriority w:val="99"/>
    <w:semiHidden/>
    <w:rsid w:val="004D3317"/>
    <w:rPr>
      <w:rFonts w:eastAsiaTheme="minorEastAsia"/>
      <w:b/>
      <w:bCs/>
      <w:sz w:val="20"/>
      <w:szCs w:val="20"/>
    </w:rPr>
  </w:style>
  <w:style w:type="paragraph" w:styleId="Buborkszveg">
    <w:name w:val="Balloon Text"/>
    <w:basedOn w:val="Norml"/>
    <w:link w:val="BuborkszvegChar"/>
    <w:uiPriority w:val="99"/>
    <w:semiHidden/>
    <w:unhideWhenUsed/>
    <w:rsid w:val="004D331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3317"/>
    <w:rPr>
      <w:rFonts w:ascii="Segoe UI" w:eastAsiaTheme="minorEastAsia" w:hAnsi="Segoe UI" w:cs="Segoe UI"/>
      <w:sz w:val="18"/>
      <w:szCs w:val="18"/>
    </w:rPr>
  </w:style>
  <w:style w:type="paragraph" w:styleId="Cm">
    <w:name w:val="Title"/>
    <w:basedOn w:val="Norml"/>
    <w:next w:val="Norml"/>
    <w:link w:val="CmChar"/>
    <w:uiPriority w:val="10"/>
    <w:qFormat/>
    <w:rsid w:val="00A829C3"/>
    <w:pPr>
      <w:spacing w:after="0" w:line="240" w:lineRule="auto"/>
      <w:contextualSpacing/>
    </w:pPr>
    <w:rPr>
      <w:rFonts w:asciiTheme="majorHAnsi" w:eastAsiaTheme="majorEastAsia" w:hAnsiTheme="majorHAnsi" w:cstheme="majorBidi"/>
      <w:spacing w:val="-10"/>
      <w:sz w:val="56"/>
      <w:szCs w:val="56"/>
    </w:rPr>
  </w:style>
  <w:style w:type="character" w:customStyle="1" w:styleId="CmChar">
    <w:name w:val="Cím Char"/>
    <w:basedOn w:val="Bekezdsalapbettpusa"/>
    <w:link w:val="Cm"/>
    <w:uiPriority w:val="10"/>
    <w:rsid w:val="00A829C3"/>
    <w:rPr>
      <w:rFonts w:asciiTheme="majorHAnsi" w:eastAsiaTheme="majorEastAsia" w:hAnsiTheme="majorHAnsi" w:cstheme="majorBidi"/>
      <w:spacing w:val="-10"/>
      <w:sz w:val="56"/>
      <w:szCs w:val="56"/>
    </w:rPr>
  </w:style>
  <w:style w:type="paragraph" w:styleId="Alcm">
    <w:name w:val="Subtitle"/>
    <w:basedOn w:val="Norml"/>
    <w:next w:val="Norml"/>
    <w:link w:val="AlcmChar"/>
    <w:uiPriority w:val="11"/>
    <w:qFormat/>
    <w:rsid w:val="00A829C3"/>
    <w:pPr>
      <w:numPr>
        <w:ilvl w:val="1"/>
      </w:numPr>
    </w:pPr>
    <w:rPr>
      <w:color w:val="5A5A5A" w:themeColor="text1" w:themeTint="A5"/>
      <w:spacing w:val="15"/>
    </w:rPr>
  </w:style>
  <w:style w:type="character" w:customStyle="1" w:styleId="AlcmChar">
    <w:name w:val="Alcím Char"/>
    <w:basedOn w:val="Bekezdsalapbettpusa"/>
    <w:link w:val="Alcm"/>
    <w:uiPriority w:val="11"/>
    <w:rsid w:val="00A829C3"/>
    <w:rPr>
      <w:color w:val="5A5A5A" w:themeColor="text1" w:themeTint="A5"/>
      <w:spacing w:val="15"/>
    </w:rPr>
  </w:style>
  <w:style w:type="character" w:styleId="Kiemels2">
    <w:name w:val="Strong"/>
    <w:basedOn w:val="Bekezdsalapbettpusa"/>
    <w:uiPriority w:val="22"/>
    <w:qFormat/>
    <w:rsid w:val="00A829C3"/>
    <w:rPr>
      <w:b/>
      <w:bCs/>
      <w:color w:val="auto"/>
    </w:rPr>
  </w:style>
  <w:style w:type="character" w:styleId="Kiemels">
    <w:name w:val="Emphasis"/>
    <w:basedOn w:val="Bekezdsalapbettpusa"/>
    <w:uiPriority w:val="20"/>
    <w:qFormat/>
    <w:rsid w:val="00A829C3"/>
    <w:rPr>
      <w:i/>
      <w:iCs/>
      <w:color w:val="auto"/>
    </w:rPr>
  </w:style>
  <w:style w:type="paragraph" w:styleId="Nincstrkz">
    <w:name w:val="No Spacing"/>
    <w:uiPriority w:val="1"/>
    <w:qFormat/>
    <w:rsid w:val="00A829C3"/>
    <w:pPr>
      <w:spacing w:after="0" w:line="240" w:lineRule="auto"/>
    </w:pPr>
  </w:style>
  <w:style w:type="paragraph" w:styleId="Idzet">
    <w:name w:val="Quote"/>
    <w:basedOn w:val="Norml"/>
    <w:next w:val="Norml"/>
    <w:link w:val="IdzetChar"/>
    <w:uiPriority w:val="29"/>
    <w:qFormat/>
    <w:rsid w:val="00A829C3"/>
    <w:pPr>
      <w:spacing w:before="200"/>
      <w:ind w:left="864" w:right="864"/>
    </w:pPr>
    <w:rPr>
      <w:i/>
      <w:iCs/>
      <w:color w:val="404040" w:themeColor="text1" w:themeTint="BF"/>
    </w:rPr>
  </w:style>
  <w:style w:type="character" w:customStyle="1" w:styleId="IdzetChar">
    <w:name w:val="Idézet Char"/>
    <w:basedOn w:val="Bekezdsalapbettpusa"/>
    <w:link w:val="Idzet"/>
    <w:uiPriority w:val="29"/>
    <w:rsid w:val="00A829C3"/>
    <w:rPr>
      <w:i/>
      <w:iCs/>
      <w:color w:val="404040" w:themeColor="text1" w:themeTint="BF"/>
    </w:rPr>
  </w:style>
  <w:style w:type="paragraph" w:styleId="Kiemeltidzet">
    <w:name w:val="Intense Quote"/>
    <w:basedOn w:val="Norml"/>
    <w:next w:val="Norml"/>
    <w:link w:val="KiemeltidzetChar"/>
    <w:uiPriority w:val="30"/>
    <w:qFormat/>
    <w:rsid w:val="00A829C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KiemeltidzetChar">
    <w:name w:val="Kiemelt idézet Char"/>
    <w:basedOn w:val="Bekezdsalapbettpusa"/>
    <w:link w:val="Kiemeltidzet"/>
    <w:uiPriority w:val="30"/>
    <w:rsid w:val="00A829C3"/>
    <w:rPr>
      <w:i/>
      <w:iCs/>
      <w:color w:val="404040" w:themeColor="text1" w:themeTint="BF"/>
    </w:rPr>
  </w:style>
  <w:style w:type="character" w:styleId="Finomkiemels">
    <w:name w:val="Subtle Emphasis"/>
    <w:basedOn w:val="Bekezdsalapbettpusa"/>
    <w:uiPriority w:val="19"/>
    <w:qFormat/>
    <w:rsid w:val="00A829C3"/>
    <w:rPr>
      <w:i/>
      <w:iCs/>
      <w:color w:val="404040" w:themeColor="text1" w:themeTint="BF"/>
    </w:rPr>
  </w:style>
  <w:style w:type="character" w:styleId="Erskiemels">
    <w:name w:val="Intense Emphasis"/>
    <w:basedOn w:val="Bekezdsalapbettpusa"/>
    <w:uiPriority w:val="21"/>
    <w:qFormat/>
    <w:rsid w:val="00A829C3"/>
    <w:rPr>
      <w:b/>
      <w:bCs/>
      <w:i/>
      <w:iCs/>
      <w:color w:val="auto"/>
    </w:rPr>
  </w:style>
  <w:style w:type="character" w:styleId="Finomhivatkozs">
    <w:name w:val="Subtle Reference"/>
    <w:basedOn w:val="Bekezdsalapbettpusa"/>
    <w:uiPriority w:val="31"/>
    <w:qFormat/>
    <w:rsid w:val="00A829C3"/>
    <w:rPr>
      <w:smallCaps/>
      <w:color w:val="404040" w:themeColor="text1" w:themeTint="BF"/>
    </w:rPr>
  </w:style>
  <w:style w:type="character" w:styleId="Ershivatkozs">
    <w:name w:val="Intense Reference"/>
    <w:basedOn w:val="Bekezdsalapbettpusa"/>
    <w:uiPriority w:val="32"/>
    <w:qFormat/>
    <w:rsid w:val="00A829C3"/>
    <w:rPr>
      <w:b/>
      <w:bCs/>
      <w:smallCaps/>
      <w:color w:val="404040" w:themeColor="text1" w:themeTint="BF"/>
      <w:spacing w:val="5"/>
    </w:rPr>
  </w:style>
  <w:style w:type="character" w:styleId="Knyvcme">
    <w:name w:val="Book Title"/>
    <w:basedOn w:val="Bekezdsalapbettpusa"/>
    <w:uiPriority w:val="33"/>
    <w:qFormat/>
    <w:rsid w:val="00A829C3"/>
    <w:rPr>
      <w:b/>
      <w:bCs/>
      <w:i/>
      <w:iCs/>
      <w:spacing w:val="5"/>
    </w:rPr>
  </w:style>
  <w:style w:type="paragraph" w:customStyle="1" w:styleId="Stlus1">
    <w:name w:val="Stílus1"/>
    <w:basedOn w:val="Norml"/>
    <w:link w:val="Stlus1Char"/>
    <w:qFormat/>
    <w:rsid w:val="00CB0A5E"/>
    <w:pPr>
      <w:spacing w:after="60" w:line="240" w:lineRule="auto"/>
      <w:ind w:firstLine="709"/>
    </w:pPr>
    <w:rPr>
      <w:rFonts w:ascii="Times New Roman" w:hAnsi="Times New Roman" w:cs="Times New Roman"/>
      <w:b/>
      <w:sz w:val="24"/>
      <w:szCs w:val="24"/>
    </w:rPr>
  </w:style>
  <w:style w:type="table" w:styleId="Vilgosrnykols1jellszn">
    <w:name w:val="Light Shading Accent 1"/>
    <w:basedOn w:val="Normltblzat"/>
    <w:uiPriority w:val="60"/>
    <w:rsid w:val="0048439E"/>
    <w:pPr>
      <w:spacing w:after="0" w:line="240" w:lineRule="auto"/>
    </w:pPr>
    <w:rPr>
      <w:rFonts w:eastAsiaTheme="minorHAns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Stlus1Char">
    <w:name w:val="Stílus1 Char"/>
    <w:basedOn w:val="Bekezdsalapbettpusa"/>
    <w:link w:val="Stlus1"/>
    <w:rsid w:val="00CB0A5E"/>
    <w:rPr>
      <w:rFonts w:ascii="Times New Roman" w:hAnsi="Times New Roman" w:cs="Times New Roman"/>
      <w:b/>
      <w:sz w:val="24"/>
      <w:szCs w:val="24"/>
    </w:rPr>
  </w:style>
  <w:style w:type="table" w:styleId="Vilgosrcs1jellszn">
    <w:name w:val="Light Grid Accent 1"/>
    <w:basedOn w:val="Normltblzat"/>
    <w:uiPriority w:val="62"/>
    <w:rsid w:val="0048439E"/>
    <w:pPr>
      <w:spacing w:after="0" w:line="240" w:lineRule="auto"/>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Kzepeslista13jellszn">
    <w:name w:val="Medium List 1 Accent 3"/>
    <w:basedOn w:val="Normltblzat"/>
    <w:uiPriority w:val="65"/>
    <w:rsid w:val="0048439E"/>
    <w:pPr>
      <w:spacing w:after="0" w:line="240" w:lineRule="auto"/>
    </w:pPr>
    <w:rPr>
      <w:rFonts w:eastAsiaTheme="minorHAnsi"/>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Kzepesrnykols15jellszn">
    <w:name w:val="Medium Shading 1 Accent 5"/>
    <w:basedOn w:val="Normltblzat"/>
    <w:uiPriority w:val="63"/>
    <w:rsid w:val="0048439E"/>
    <w:pPr>
      <w:spacing w:after="0" w:line="240" w:lineRule="auto"/>
    </w:pPr>
    <w:rPr>
      <w:rFonts w:eastAsiaTheme="minorHAnsi"/>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Kzepesrnykols11jellszn">
    <w:name w:val="Medium Shading 1 Accent 1"/>
    <w:basedOn w:val="Normltblzat"/>
    <w:uiPriority w:val="63"/>
    <w:rsid w:val="0048439E"/>
    <w:pPr>
      <w:spacing w:after="0" w:line="240" w:lineRule="auto"/>
    </w:pPr>
    <w:rPr>
      <w:rFonts w:eastAsia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Vilgoslista2jellszn">
    <w:name w:val="Light List Accent 2"/>
    <w:basedOn w:val="Normltblzat"/>
    <w:uiPriority w:val="61"/>
    <w:rsid w:val="0048439E"/>
    <w:pPr>
      <w:spacing w:after="0" w:line="240" w:lineRule="auto"/>
    </w:pPr>
    <w:rPr>
      <w:rFonts w:eastAsiaTheme="minorHAns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Vilgoslista3jellszn">
    <w:name w:val="Light List Accent 3"/>
    <w:basedOn w:val="Normltblzat"/>
    <w:uiPriority w:val="61"/>
    <w:rsid w:val="0048439E"/>
    <w:pPr>
      <w:spacing w:after="0" w:line="240" w:lineRule="auto"/>
    </w:pPr>
    <w:rPr>
      <w:rFonts w:eastAsia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Vilgoslista4jellszn">
    <w:name w:val="Light List Accent 4"/>
    <w:basedOn w:val="Normltblzat"/>
    <w:uiPriority w:val="61"/>
    <w:rsid w:val="0048439E"/>
    <w:pPr>
      <w:spacing w:after="0" w:line="240" w:lineRule="auto"/>
    </w:pPr>
    <w:rPr>
      <w:rFonts w:eastAsiaTheme="minorHAns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Vilgoslista5jellszn">
    <w:name w:val="Light List Accent 5"/>
    <w:basedOn w:val="Normltblzat"/>
    <w:uiPriority w:val="61"/>
    <w:rsid w:val="0048439E"/>
    <w:pPr>
      <w:spacing w:after="0" w:line="240" w:lineRule="auto"/>
    </w:pPr>
    <w:rPr>
      <w:rFonts w:eastAsiaTheme="minorHAns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Vilgoslista6jellszn">
    <w:name w:val="Light List Accent 6"/>
    <w:basedOn w:val="Normltblzat"/>
    <w:uiPriority w:val="61"/>
    <w:rsid w:val="0048439E"/>
    <w:pPr>
      <w:spacing w:after="0" w:line="240" w:lineRule="auto"/>
    </w:pPr>
    <w:rPr>
      <w:rFonts w:eastAsiaTheme="minorHAns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Vilgoslista1jellszn">
    <w:name w:val="Light List Accent 1"/>
    <w:basedOn w:val="Normltblzat"/>
    <w:uiPriority w:val="61"/>
    <w:rsid w:val="0048439E"/>
    <w:pPr>
      <w:spacing w:after="0" w:line="240" w:lineRule="auto"/>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Vilgoslista">
    <w:name w:val="Light List"/>
    <w:basedOn w:val="Normltblzat"/>
    <w:uiPriority w:val="61"/>
    <w:rsid w:val="0048439E"/>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lgostnus">
    <w:name w:val="Light Shading"/>
    <w:basedOn w:val="Normltblzat"/>
    <w:uiPriority w:val="60"/>
    <w:rsid w:val="0048439E"/>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lb">
    <w:name w:val="footer"/>
    <w:basedOn w:val="Norml"/>
    <w:link w:val="llbChar"/>
    <w:uiPriority w:val="99"/>
    <w:unhideWhenUsed/>
    <w:rsid w:val="0048439E"/>
    <w:pPr>
      <w:tabs>
        <w:tab w:val="center" w:pos="4153"/>
        <w:tab w:val="right" w:pos="8306"/>
      </w:tabs>
      <w:spacing w:after="0" w:line="240" w:lineRule="auto"/>
    </w:pPr>
    <w:rPr>
      <w:rFonts w:eastAsiaTheme="minorHAnsi"/>
    </w:rPr>
  </w:style>
  <w:style w:type="character" w:customStyle="1" w:styleId="llbChar">
    <w:name w:val="Élőláb Char"/>
    <w:basedOn w:val="Bekezdsalapbettpusa"/>
    <w:link w:val="llb"/>
    <w:uiPriority w:val="99"/>
    <w:rsid w:val="0048439E"/>
    <w:rPr>
      <w:rFonts w:eastAsiaTheme="minorHAnsi"/>
    </w:rPr>
  </w:style>
  <w:style w:type="character" w:styleId="Oldalszm">
    <w:name w:val="page number"/>
    <w:basedOn w:val="Bekezdsalapbettpusa"/>
    <w:uiPriority w:val="99"/>
    <w:semiHidden/>
    <w:unhideWhenUsed/>
    <w:rsid w:val="0048439E"/>
  </w:style>
  <w:style w:type="paragraph" w:customStyle="1" w:styleId="HVFejezetcim">
    <w:name w:val="HV_Fejezetcim"/>
    <w:basedOn w:val="Norml"/>
    <w:link w:val="HVFejezetcimChar"/>
    <w:qFormat/>
    <w:rsid w:val="0048439E"/>
    <w:pPr>
      <w:spacing w:after="200" w:line="276" w:lineRule="auto"/>
      <w:jc w:val="both"/>
    </w:pPr>
    <w:rPr>
      <w:rFonts w:eastAsiaTheme="minorHAnsi"/>
      <w:b/>
      <w:smallCaps/>
      <w:color w:val="8496B0" w:themeColor="text2" w:themeTint="99"/>
      <w:sz w:val="28"/>
      <w:szCs w:val="28"/>
    </w:rPr>
  </w:style>
  <w:style w:type="paragraph" w:customStyle="1" w:styleId="HVAlcm">
    <w:name w:val="HV_Alcím"/>
    <w:basedOn w:val="Norml"/>
    <w:link w:val="HVAlcmChar"/>
    <w:qFormat/>
    <w:rsid w:val="0048439E"/>
    <w:pPr>
      <w:spacing w:after="120" w:line="240" w:lineRule="auto"/>
    </w:pPr>
    <w:rPr>
      <w:rFonts w:eastAsiaTheme="minorHAnsi"/>
      <w:b/>
      <w:smallCaps/>
      <w:color w:val="8496B0" w:themeColor="text2" w:themeTint="99"/>
      <w:sz w:val="24"/>
    </w:rPr>
  </w:style>
  <w:style w:type="character" w:customStyle="1" w:styleId="HVFejezetcimChar">
    <w:name w:val="HV_Fejezetcim Char"/>
    <w:basedOn w:val="Bekezdsalapbettpusa"/>
    <w:link w:val="HVFejezetcim"/>
    <w:rsid w:val="0048439E"/>
    <w:rPr>
      <w:rFonts w:eastAsiaTheme="minorHAnsi"/>
      <w:b/>
      <w:smallCaps/>
      <w:color w:val="8496B0" w:themeColor="text2" w:themeTint="99"/>
      <w:sz w:val="28"/>
      <w:szCs w:val="28"/>
    </w:rPr>
  </w:style>
  <w:style w:type="paragraph" w:customStyle="1" w:styleId="HVreszcim">
    <w:name w:val="HV_reszcim"/>
    <w:basedOn w:val="Norml"/>
    <w:link w:val="HVreszcimChar"/>
    <w:qFormat/>
    <w:rsid w:val="0048439E"/>
    <w:pPr>
      <w:spacing w:after="120" w:line="240" w:lineRule="auto"/>
      <w:jc w:val="both"/>
    </w:pPr>
    <w:rPr>
      <w:rFonts w:eastAsiaTheme="minorHAnsi"/>
      <w:color w:val="8496B0" w:themeColor="text2" w:themeTint="99"/>
    </w:rPr>
  </w:style>
  <w:style w:type="character" w:customStyle="1" w:styleId="HVAlcmChar">
    <w:name w:val="HV_Alcím Char"/>
    <w:basedOn w:val="Bekezdsalapbettpusa"/>
    <w:link w:val="HVAlcm"/>
    <w:rsid w:val="0048439E"/>
    <w:rPr>
      <w:rFonts w:eastAsiaTheme="minorHAnsi"/>
      <w:b/>
      <w:smallCaps/>
      <w:color w:val="8496B0" w:themeColor="text2" w:themeTint="99"/>
      <w:sz w:val="24"/>
    </w:rPr>
  </w:style>
  <w:style w:type="character" w:customStyle="1" w:styleId="HVreszcimChar">
    <w:name w:val="HV_reszcim Char"/>
    <w:basedOn w:val="Bekezdsalapbettpusa"/>
    <w:link w:val="HVreszcim"/>
    <w:rsid w:val="0048439E"/>
    <w:rPr>
      <w:rFonts w:eastAsiaTheme="minorHAnsi"/>
      <w:color w:val="8496B0" w:themeColor="text2" w:themeTint="99"/>
    </w:rPr>
  </w:style>
  <w:style w:type="paragraph" w:styleId="TJ4">
    <w:name w:val="toc 4"/>
    <w:basedOn w:val="Norml"/>
    <w:next w:val="Norml"/>
    <w:autoRedefine/>
    <w:uiPriority w:val="39"/>
    <w:unhideWhenUsed/>
    <w:rsid w:val="0048439E"/>
    <w:pPr>
      <w:spacing w:after="0" w:line="240" w:lineRule="auto"/>
      <w:ind w:left="480"/>
    </w:pPr>
    <w:rPr>
      <w:rFonts w:eastAsia="Times New Roman" w:cstheme="minorHAnsi"/>
      <w:sz w:val="20"/>
      <w:szCs w:val="20"/>
      <w:lang w:eastAsia="hu-HU"/>
    </w:rPr>
  </w:style>
  <w:style w:type="paragraph" w:styleId="TJ5">
    <w:name w:val="toc 5"/>
    <w:basedOn w:val="Norml"/>
    <w:next w:val="Norml"/>
    <w:autoRedefine/>
    <w:uiPriority w:val="39"/>
    <w:unhideWhenUsed/>
    <w:rsid w:val="0048439E"/>
    <w:pPr>
      <w:spacing w:after="0" w:line="240" w:lineRule="auto"/>
      <w:ind w:left="720"/>
    </w:pPr>
    <w:rPr>
      <w:rFonts w:eastAsia="Times New Roman" w:cstheme="minorHAnsi"/>
      <w:sz w:val="20"/>
      <w:szCs w:val="20"/>
      <w:lang w:eastAsia="hu-HU"/>
    </w:rPr>
  </w:style>
  <w:style w:type="paragraph" w:styleId="TJ6">
    <w:name w:val="toc 6"/>
    <w:basedOn w:val="Norml"/>
    <w:next w:val="Norml"/>
    <w:autoRedefine/>
    <w:uiPriority w:val="39"/>
    <w:unhideWhenUsed/>
    <w:rsid w:val="0048439E"/>
    <w:pPr>
      <w:spacing w:after="0" w:line="240" w:lineRule="auto"/>
      <w:ind w:left="960"/>
    </w:pPr>
    <w:rPr>
      <w:rFonts w:eastAsia="Times New Roman" w:cstheme="minorHAnsi"/>
      <w:sz w:val="20"/>
      <w:szCs w:val="20"/>
      <w:lang w:eastAsia="hu-HU"/>
    </w:rPr>
  </w:style>
  <w:style w:type="paragraph" w:styleId="TJ7">
    <w:name w:val="toc 7"/>
    <w:basedOn w:val="Norml"/>
    <w:next w:val="Norml"/>
    <w:autoRedefine/>
    <w:uiPriority w:val="39"/>
    <w:unhideWhenUsed/>
    <w:rsid w:val="0048439E"/>
    <w:pPr>
      <w:spacing w:after="0" w:line="240" w:lineRule="auto"/>
      <w:ind w:left="1200"/>
    </w:pPr>
    <w:rPr>
      <w:rFonts w:eastAsia="Times New Roman" w:cstheme="minorHAnsi"/>
      <w:sz w:val="20"/>
      <w:szCs w:val="20"/>
      <w:lang w:eastAsia="hu-HU"/>
    </w:rPr>
  </w:style>
  <w:style w:type="paragraph" w:styleId="TJ8">
    <w:name w:val="toc 8"/>
    <w:basedOn w:val="Norml"/>
    <w:next w:val="Norml"/>
    <w:autoRedefine/>
    <w:uiPriority w:val="39"/>
    <w:unhideWhenUsed/>
    <w:rsid w:val="0048439E"/>
    <w:pPr>
      <w:spacing w:after="0" w:line="240" w:lineRule="auto"/>
      <w:ind w:left="1440"/>
    </w:pPr>
    <w:rPr>
      <w:rFonts w:eastAsia="Times New Roman" w:cstheme="minorHAnsi"/>
      <w:sz w:val="20"/>
      <w:szCs w:val="20"/>
      <w:lang w:eastAsia="hu-HU"/>
    </w:rPr>
  </w:style>
  <w:style w:type="paragraph" w:styleId="TJ9">
    <w:name w:val="toc 9"/>
    <w:basedOn w:val="Norml"/>
    <w:next w:val="Norml"/>
    <w:autoRedefine/>
    <w:uiPriority w:val="39"/>
    <w:unhideWhenUsed/>
    <w:rsid w:val="0048439E"/>
    <w:pPr>
      <w:spacing w:after="0" w:line="240" w:lineRule="auto"/>
      <w:ind w:left="1680"/>
    </w:pPr>
    <w:rPr>
      <w:rFonts w:eastAsia="Times New Roman" w:cstheme="minorHAnsi"/>
      <w:sz w:val="20"/>
      <w:szCs w:val="20"/>
      <w:lang w:eastAsia="hu-HU"/>
    </w:rPr>
  </w:style>
  <w:style w:type="paragraph" w:customStyle="1" w:styleId="HVabraforras">
    <w:name w:val="HV_abraforras"/>
    <w:basedOn w:val="HVreszcim"/>
    <w:link w:val="HVabraforrasChar"/>
    <w:autoRedefine/>
    <w:qFormat/>
    <w:rsid w:val="00B741D2"/>
    <w:pPr>
      <w:spacing w:after="60"/>
      <w:ind w:firstLine="709"/>
      <w:jc w:val="center"/>
    </w:pPr>
    <w:rPr>
      <w:rFonts w:ascii="Times New Roman" w:eastAsiaTheme="majorEastAsia" w:hAnsi="Times New Roman" w:cs="Times New Roman"/>
      <w:i/>
      <w:color w:val="0D0D0D" w:themeColor="text1" w:themeTint="F2"/>
      <w:sz w:val="24"/>
      <w:szCs w:val="24"/>
    </w:rPr>
  </w:style>
  <w:style w:type="paragraph" w:customStyle="1" w:styleId="HVabraalairas">
    <w:name w:val="HV_abraalairas"/>
    <w:basedOn w:val="HVreszcim"/>
    <w:link w:val="HVabraalairasChar"/>
    <w:autoRedefine/>
    <w:qFormat/>
    <w:rsid w:val="0048439E"/>
    <w:pPr>
      <w:spacing w:after="0"/>
      <w:jc w:val="center"/>
      <w:outlineLvl w:val="0"/>
    </w:pPr>
    <w:rPr>
      <w:rFonts w:ascii="Avenir Next Condensed" w:hAnsi="Avenir Next Condensed" w:cs="Baghdad"/>
      <w:b/>
      <w:sz w:val="15"/>
      <w:szCs w:val="15"/>
    </w:rPr>
  </w:style>
  <w:style w:type="character" w:customStyle="1" w:styleId="HVabraforrasChar">
    <w:name w:val="HV_abraforras Char"/>
    <w:basedOn w:val="HVreszcimChar"/>
    <w:link w:val="HVabraforras"/>
    <w:rsid w:val="00B741D2"/>
    <w:rPr>
      <w:rFonts w:ascii="Times New Roman" w:eastAsiaTheme="majorEastAsia" w:hAnsi="Times New Roman" w:cs="Times New Roman"/>
      <w:i/>
      <w:color w:val="0D0D0D" w:themeColor="text1" w:themeTint="F2"/>
      <w:sz w:val="24"/>
      <w:szCs w:val="24"/>
    </w:rPr>
  </w:style>
  <w:style w:type="character" w:customStyle="1" w:styleId="HVabraalairasChar">
    <w:name w:val="HV_abraalairas Char"/>
    <w:basedOn w:val="HVreszcimChar"/>
    <w:link w:val="HVabraalairas"/>
    <w:rsid w:val="0048439E"/>
    <w:rPr>
      <w:rFonts w:ascii="Avenir Next Condensed" w:eastAsiaTheme="minorHAnsi" w:hAnsi="Avenir Next Condensed" w:cs="Baghdad"/>
      <w:b/>
      <w:color w:val="8496B0" w:themeColor="text2" w:themeTint="99"/>
      <w:sz w:val="15"/>
      <w:szCs w:val="15"/>
    </w:rPr>
  </w:style>
  <w:style w:type="paragraph" w:styleId="Lbjegyzetszveg">
    <w:name w:val="footnote text"/>
    <w:basedOn w:val="Norml"/>
    <w:link w:val="LbjegyzetszvegChar"/>
    <w:uiPriority w:val="99"/>
    <w:unhideWhenUsed/>
    <w:rsid w:val="0048439E"/>
    <w:pPr>
      <w:spacing w:after="0" w:line="240" w:lineRule="auto"/>
    </w:pPr>
    <w:rPr>
      <w:rFonts w:eastAsiaTheme="minorHAnsi"/>
      <w:sz w:val="20"/>
      <w:szCs w:val="20"/>
    </w:rPr>
  </w:style>
  <w:style w:type="character" w:customStyle="1" w:styleId="LbjegyzetszvegChar">
    <w:name w:val="Lábjegyzetszöveg Char"/>
    <w:basedOn w:val="Bekezdsalapbettpusa"/>
    <w:link w:val="Lbjegyzetszveg"/>
    <w:uiPriority w:val="99"/>
    <w:rsid w:val="0048439E"/>
    <w:rPr>
      <w:rFonts w:eastAsiaTheme="minorHAnsi"/>
      <w:sz w:val="20"/>
      <w:szCs w:val="20"/>
    </w:rPr>
  </w:style>
  <w:style w:type="character" w:styleId="Lbjegyzet-hivatkozs">
    <w:name w:val="footnote reference"/>
    <w:basedOn w:val="Bekezdsalapbettpusa"/>
    <w:uiPriority w:val="99"/>
    <w:unhideWhenUsed/>
    <w:rsid w:val="0048439E"/>
    <w:rPr>
      <w:vertAlign w:val="superscript"/>
    </w:rPr>
  </w:style>
  <w:style w:type="character" w:styleId="HTML-idzet">
    <w:name w:val="HTML Cite"/>
    <w:basedOn w:val="Bekezdsalapbettpusa"/>
    <w:uiPriority w:val="99"/>
    <w:semiHidden/>
    <w:unhideWhenUsed/>
    <w:rsid w:val="0048439E"/>
    <w:rPr>
      <w:i/>
      <w:iCs/>
    </w:rPr>
  </w:style>
  <w:style w:type="paragraph" w:styleId="Szvegtrzsbehzssal2">
    <w:name w:val="Body Text Indent 2"/>
    <w:basedOn w:val="Norml"/>
    <w:link w:val="Szvegtrzsbehzssal2Char"/>
    <w:rsid w:val="0048439E"/>
    <w:pPr>
      <w:tabs>
        <w:tab w:val="left" w:pos="9000"/>
        <w:tab w:val="left" w:pos="9071"/>
      </w:tabs>
      <w:spacing w:after="0" w:line="360" w:lineRule="auto"/>
      <w:ind w:firstLine="720"/>
      <w:jc w:val="both"/>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rsid w:val="0048439E"/>
    <w:rPr>
      <w:rFonts w:ascii="Times New Roman" w:eastAsia="Times New Roman" w:hAnsi="Times New Roman" w:cs="Times New Roman"/>
      <w:sz w:val="24"/>
      <w:szCs w:val="24"/>
      <w:lang w:eastAsia="hu-HU"/>
    </w:rPr>
  </w:style>
  <w:style w:type="paragraph" w:styleId="Szvegtrzs">
    <w:name w:val="Body Text"/>
    <w:basedOn w:val="Norml"/>
    <w:link w:val="SzvegtrzsChar"/>
    <w:uiPriority w:val="99"/>
    <w:semiHidden/>
    <w:unhideWhenUsed/>
    <w:rsid w:val="0048439E"/>
    <w:pPr>
      <w:spacing w:after="120" w:line="276" w:lineRule="auto"/>
    </w:pPr>
    <w:rPr>
      <w:rFonts w:eastAsiaTheme="minorHAnsi"/>
    </w:rPr>
  </w:style>
  <w:style w:type="character" w:customStyle="1" w:styleId="SzvegtrzsChar">
    <w:name w:val="Szövegtörzs Char"/>
    <w:basedOn w:val="Bekezdsalapbettpusa"/>
    <w:link w:val="Szvegtrzs"/>
    <w:uiPriority w:val="99"/>
    <w:semiHidden/>
    <w:rsid w:val="0048439E"/>
    <w:rPr>
      <w:rFonts w:eastAsiaTheme="minorHAnsi"/>
    </w:rPr>
  </w:style>
  <w:style w:type="paragraph" w:styleId="Szvegtrzsbehzssal">
    <w:name w:val="Body Text Indent"/>
    <w:basedOn w:val="Norml"/>
    <w:link w:val="SzvegtrzsbehzssalChar"/>
    <w:uiPriority w:val="99"/>
    <w:unhideWhenUsed/>
    <w:rsid w:val="0048439E"/>
    <w:pPr>
      <w:spacing w:after="120" w:line="276" w:lineRule="auto"/>
      <w:ind w:left="283"/>
    </w:pPr>
    <w:rPr>
      <w:rFonts w:eastAsiaTheme="minorHAnsi"/>
    </w:rPr>
  </w:style>
  <w:style w:type="character" w:customStyle="1" w:styleId="SzvegtrzsbehzssalChar">
    <w:name w:val="Szövegtörzs behúzással Char"/>
    <w:basedOn w:val="Bekezdsalapbettpusa"/>
    <w:link w:val="Szvegtrzsbehzssal"/>
    <w:uiPriority w:val="99"/>
    <w:rsid w:val="0048439E"/>
    <w:rPr>
      <w:rFonts w:eastAsiaTheme="minorHAnsi"/>
    </w:rPr>
  </w:style>
  <w:style w:type="table" w:styleId="Kzepeslista21jellszn">
    <w:name w:val="Medium List 2 Accent 1"/>
    <w:basedOn w:val="Normltblzat"/>
    <w:uiPriority w:val="66"/>
    <w:rsid w:val="004843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Kzepeslista11jellszn">
    <w:name w:val="Medium List 1 Accent 1"/>
    <w:basedOn w:val="Normltblzat"/>
    <w:uiPriority w:val="65"/>
    <w:rsid w:val="0048439E"/>
    <w:pPr>
      <w:spacing w:after="0" w:line="240" w:lineRule="auto"/>
    </w:pPr>
    <w:rPr>
      <w:rFonts w:eastAsiaTheme="minorHAnsi"/>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Kzepesrcs11jellszn">
    <w:name w:val="Medium Grid 1 Accent 1"/>
    <w:basedOn w:val="Normltblzat"/>
    <w:uiPriority w:val="67"/>
    <w:rsid w:val="0048439E"/>
    <w:pPr>
      <w:spacing w:after="0" w:line="240" w:lineRule="auto"/>
    </w:pPr>
    <w:rPr>
      <w:rFonts w:eastAsiaTheme="minorHAnsi"/>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Szdszveg">
    <w:name w:val="Szd_szöveg"/>
    <w:basedOn w:val="Norml"/>
    <w:rsid w:val="0048439E"/>
    <w:pPr>
      <w:spacing w:after="60" w:line="360" w:lineRule="auto"/>
      <w:ind w:firstLine="397"/>
      <w:jc w:val="both"/>
    </w:pPr>
    <w:rPr>
      <w:rFonts w:ascii="Times New Roman" w:eastAsia="Times New Roman" w:hAnsi="Times New Roman" w:cs="Times New Roman"/>
      <w:sz w:val="24"/>
      <w:szCs w:val="24"/>
      <w:lang w:eastAsia="hu-HU"/>
    </w:rPr>
  </w:style>
  <w:style w:type="paragraph" w:customStyle="1" w:styleId="Szdfelsorols">
    <w:name w:val="Szd_felsorolás"/>
    <w:basedOn w:val="Szdszveg"/>
    <w:rsid w:val="0048439E"/>
    <w:pPr>
      <w:numPr>
        <w:numId w:val="32"/>
      </w:numPr>
    </w:pPr>
  </w:style>
  <w:style w:type="paragraph" w:customStyle="1" w:styleId="Szdcmsor1">
    <w:name w:val="Szd_címsor1"/>
    <w:basedOn w:val="Norml"/>
    <w:next w:val="Szdszveg"/>
    <w:uiPriority w:val="99"/>
    <w:rsid w:val="0048439E"/>
    <w:pPr>
      <w:pageBreakBefore/>
      <w:numPr>
        <w:numId w:val="33"/>
      </w:numPr>
      <w:spacing w:after="240" w:line="240" w:lineRule="auto"/>
    </w:pPr>
    <w:rPr>
      <w:rFonts w:ascii="Times New Roman" w:eastAsia="Times New Roman" w:hAnsi="Times New Roman" w:cs="Times New Roman"/>
      <w:b/>
      <w:smallCaps/>
      <w:sz w:val="28"/>
      <w:szCs w:val="28"/>
      <w:lang w:eastAsia="hu-HU"/>
    </w:rPr>
  </w:style>
  <w:style w:type="paragraph" w:customStyle="1" w:styleId="Szdcmsor2">
    <w:name w:val="Szd_címsor2"/>
    <w:basedOn w:val="Norml"/>
    <w:next w:val="Szdszveg"/>
    <w:autoRedefine/>
    <w:rsid w:val="0048439E"/>
    <w:pPr>
      <w:numPr>
        <w:ilvl w:val="1"/>
        <w:numId w:val="33"/>
      </w:numPr>
      <w:tabs>
        <w:tab w:val="clear" w:pos="1296"/>
        <w:tab w:val="num" w:pos="1116"/>
      </w:tabs>
      <w:spacing w:before="240" w:after="120" w:line="240" w:lineRule="auto"/>
      <w:ind w:left="1116"/>
    </w:pPr>
    <w:rPr>
      <w:rFonts w:ascii="Times New Roman" w:eastAsia="Times New Roman" w:hAnsi="Times New Roman" w:cs="Times New Roman"/>
      <w:b/>
      <w:sz w:val="26"/>
      <w:szCs w:val="24"/>
      <w:lang w:eastAsia="hu-HU"/>
    </w:rPr>
  </w:style>
  <w:style w:type="paragraph" w:customStyle="1" w:styleId="Szdcmsor3">
    <w:name w:val="Szd_címsor3"/>
    <w:basedOn w:val="Norml"/>
    <w:next w:val="Szdszveg"/>
    <w:uiPriority w:val="99"/>
    <w:rsid w:val="0048439E"/>
    <w:pPr>
      <w:keepNext/>
      <w:numPr>
        <w:ilvl w:val="2"/>
        <w:numId w:val="33"/>
      </w:numPr>
      <w:spacing w:before="240" w:after="120" w:line="240" w:lineRule="auto"/>
    </w:pPr>
    <w:rPr>
      <w:rFonts w:ascii="Times New Roman" w:eastAsia="Times New Roman" w:hAnsi="Times New Roman" w:cs="Times New Roman"/>
      <w:b/>
      <w:sz w:val="24"/>
      <w:szCs w:val="24"/>
      <w:lang w:eastAsia="hu-HU"/>
    </w:rPr>
  </w:style>
  <w:style w:type="paragraph" w:customStyle="1" w:styleId="SzdszvegCharCharChar">
    <w:name w:val="Szd_szöveg Char Char Char"/>
    <w:basedOn w:val="Norml"/>
    <w:rsid w:val="0048439E"/>
    <w:pPr>
      <w:spacing w:after="60" w:line="360" w:lineRule="auto"/>
      <w:ind w:firstLine="397"/>
      <w:jc w:val="both"/>
    </w:pPr>
    <w:rPr>
      <w:rFonts w:ascii="Times New Roman" w:eastAsia="Times New Roman" w:hAnsi="Times New Roman" w:cs="Times New Roman"/>
      <w:sz w:val="24"/>
      <w:szCs w:val="24"/>
      <w:lang w:eastAsia="hu-HU"/>
    </w:rPr>
  </w:style>
  <w:style w:type="table" w:styleId="Kzepesrnykols21jellszn">
    <w:name w:val="Medium Shading 2 Accent 1"/>
    <w:basedOn w:val="Normltblzat"/>
    <w:uiPriority w:val="64"/>
    <w:rsid w:val="0048439E"/>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zvegrsz">
    <w:name w:val="Szövegrész"/>
    <w:basedOn w:val="Norml"/>
    <w:link w:val="SzvegrszChar"/>
    <w:autoRedefine/>
    <w:qFormat/>
    <w:rsid w:val="0048439E"/>
    <w:pPr>
      <w:spacing w:after="120" w:line="240" w:lineRule="auto"/>
      <w:jc w:val="both"/>
    </w:pPr>
    <w:rPr>
      <w:rFonts w:eastAsiaTheme="minorHAnsi"/>
      <w:sz w:val="20"/>
      <w:szCs w:val="20"/>
    </w:rPr>
  </w:style>
  <w:style w:type="character" w:customStyle="1" w:styleId="SzvegrszChar">
    <w:name w:val="Szövegrész Char"/>
    <w:basedOn w:val="Bekezdsalapbettpusa"/>
    <w:link w:val="Szvegrsz"/>
    <w:rsid w:val="0048439E"/>
    <w:rPr>
      <w:rFonts w:eastAsiaTheme="minorHAnsi"/>
      <w:sz w:val="20"/>
      <w:szCs w:val="20"/>
    </w:rPr>
  </w:style>
  <w:style w:type="paragraph" w:customStyle="1" w:styleId="Tanulmnytblzatfelirat">
    <w:name w:val="Tanulmány_táblázatfelirat"/>
    <w:basedOn w:val="Norml"/>
    <w:link w:val="TanulmnytblzatfeliratChar"/>
    <w:autoRedefine/>
    <w:qFormat/>
    <w:rsid w:val="0048439E"/>
    <w:pPr>
      <w:spacing w:after="0" w:line="240" w:lineRule="auto"/>
      <w:jc w:val="center"/>
    </w:pPr>
    <w:rPr>
      <w:rFonts w:eastAsia="Times New Roman" w:cs="Times New Roman"/>
      <w:b/>
      <w:sz w:val="20"/>
      <w:szCs w:val="20"/>
      <w:lang w:val="cs-CZ"/>
    </w:rPr>
  </w:style>
  <w:style w:type="character" w:customStyle="1" w:styleId="TanulmnytblzatfeliratChar">
    <w:name w:val="Tanulmány_táblázatfelirat Char"/>
    <w:basedOn w:val="Bekezdsalapbettpusa"/>
    <w:link w:val="Tanulmnytblzatfelirat"/>
    <w:rsid w:val="0048439E"/>
    <w:rPr>
      <w:rFonts w:eastAsia="Times New Roman" w:cs="Times New Roman"/>
      <w:b/>
      <w:sz w:val="20"/>
      <w:szCs w:val="20"/>
      <w:lang w:val="cs-CZ"/>
    </w:rPr>
  </w:style>
  <w:style w:type="paragraph" w:customStyle="1" w:styleId="HVtablazatcim">
    <w:name w:val="HV_tablazatcim"/>
    <w:basedOn w:val="Norml"/>
    <w:link w:val="HVtablazatcimChar"/>
    <w:qFormat/>
    <w:rsid w:val="0048439E"/>
    <w:pPr>
      <w:spacing w:after="0" w:line="240" w:lineRule="auto"/>
      <w:jc w:val="center"/>
    </w:pPr>
    <w:rPr>
      <w:rFonts w:eastAsiaTheme="minorHAnsi"/>
      <w:b/>
      <w:sz w:val="18"/>
      <w:szCs w:val="18"/>
    </w:rPr>
  </w:style>
  <w:style w:type="paragraph" w:styleId="brajegyzk">
    <w:name w:val="table of figures"/>
    <w:basedOn w:val="Norml"/>
    <w:next w:val="Norml"/>
    <w:uiPriority w:val="99"/>
    <w:unhideWhenUsed/>
    <w:rsid w:val="0048439E"/>
    <w:pPr>
      <w:spacing w:after="0" w:line="276" w:lineRule="auto"/>
    </w:pPr>
    <w:rPr>
      <w:rFonts w:eastAsiaTheme="minorHAnsi"/>
    </w:rPr>
  </w:style>
  <w:style w:type="character" w:customStyle="1" w:styleId="HVtablazatcimChar">
    <w:name w:val="HV_tablazatcim Char"/>
    <w:basedOn w:val="Bekezdsalapbettpusa"/>
    <w:link w:val="HVtablazatcim"/>
    <w:rsid w:val="0048439E"/>
    <w:rPr>
      <w:rFonts w:eastAsiaTheme="minorHAnsi"/>
      <w:b/>
      <w:sz w:val="18"/>
      <w:szCs w:val="18"/>
    </w:rPr>
  </w:style>
  <w:style w:type="paragraph" w:styleId="lfej">
    <w:name w:val="header"/>
    <w:basedOn w:val="Norml"/>
    <w:link w:val="lfejChar"/>
    <w:uiPriority w:val="99"/>
    <w:unhideWhenUsed/>
    <w:rsid w:val="0048439E"/>
    <w:pPr>
      <w:tabs>
        <w:tab w:val="center" w:pos="4513"/>
        <w:tab w:val="right" w:pos="9026"/>
      </w:tabs>
      <w:spacing w:after="0" w:line="240" w:lineRule="auto"/>
    </w:pPr>
    <w:rPr>
      <w:rFonts w:eastAsiaTheme="minorHAnsi"/>
    </w:rPr>
  </w:style>
  <w:style w:type="character" w:customStyle="1" w:styleId="lfejChar">
    <w:name w:val="Élőfej Char"/>
    <w:basedOn w:val="Bekezdsalapbettpusa"/>
    <w:link w:val="lfej"/>
    <w:uiPriority w:val="99"/>
    <w:rsid w:val="0048439E"/>
    <w:rPr>
      <w:rFonts w:eastAsiaTheme="minorHAnsi"/>
    </w:rPr>
  </w:style>
  <w:style w:type="table" w:customStyle="1" w:styleId="Kzepesrnykols15jellszn1">
    <w:name w:val="Közepes árnyékolás 1 – 5. jelölőszín1"/>
    <w:basedOn w:val="Normltblzat"/>
    <w:next w:val="Kzepesrnykols15jellszn"/>
    <w:uiPriority w:val="63"/>
    <w:rsid w:val="0048439E"/>
    <w:pPr>
      <w:spacing w:after="0" w:line="240" w:lineRule="auto"/>
    </w:pPr>
    <w:rPr>
      <w:rFonts w:ascii="Times New Roman" w:eastAsia="Times New Roman" w:hAnsi="Times New Roman" w:cs="Times New Roman"/>
      <w:sz w:val="20"/>
      <w:szCs w:val="20"/>
      <w:lang w:eastAsia="hu-HU"/>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Vltozat">
    <w:name w:val="Revision"/>
    <w:hidden/>
    <w:uiPriority w:val="99"/>
    <w:semiHidden/>
    <w:rsid w:val="0048439E"/>
    <w:pPr>
      <w:spacing w:after="0" w:line="240" w:lineRule="auto"/>
    </w:pPr>
    <w:rPr>
      <w:rFonts w:eastAsiaTheme="minorHAnsi"/>
    </w:rPr>
  </w:style>
  <w:style w:type="character" w:styleId="Mrltotthiperhivatkozs">
    <w:name w:val="FollowedHyperlink"/>
    <w:basedOn w:val="Bekezdsalapbettpusa"/>
    <w:uiPriority w:val="99"/>
    <w:semiHidden/>
    <w:unhideWhenUsed/>
    <w:rsid w:val="0048439E"/>
    <w:rPr>
      <w:color w:val="954F72" w:themeColor="followedHyperlink"/>
      <w:u w:val="single"/>
    </w:rPr>
  </w:style>
  <w:style w:type="paragraph" w:customStyle="1" w:styleId="HV4cimsor">
    <w:name w:val="HV_4cimsor"/>
    <w:basedOn w:val="Norml"/>
    <w:link w:val="HV4cimsorChar"/>
    <w:qFormat/>
    <w:rsid w:val="0048439E"/>
    <w:pPr>
      <w:spacing w:after="0" w:line="276" w:lineRule="auto"/>
    </w:pPr>
    <w:rPr>
      <w:rFonts w:eastAsiaTheme="minorHAnsi"/>
      <w:b/>
      <w:sz w:val="20"/>
      <w:szCs w:val="20"/>
    </w:rPr>
  </w:style>
  <w:style w:type="character" w:customStyle="1" w:styleId="HV4cimsorChar">
    <w:name w:val="HV_4cimsor Char"/>
    <w:basedOn w:val="Bekezdsalapbettpusa"/>
    <w:link w:val="HV4cimsor"/>
    <w:rsid w:val="0048439E"/>
    <w:rPr>
      <w:rFonts w:eastAsiaTheme="minorHAnsi"/>
      <w:b/>
      <w:sz w:val="20"/>
      <w:szCs w:val="20"/>
    </w:rPr>
  </w:style>
  <w:style w:type="paragraph" w:customStyle="1" w:styleId="MEVbrafelirat">
    <w:name w:val="MEV ábrafelirat"/>
    <w:basedOn w:val="Norml"/>
    <w:link w:val="MEVbrafeliratChar"/>
    <w:qFormat/>
    <w:rsid w:val="0048439E"/>
    <w:pPr>
      <w:spacing w:before="120" w:after="360" w:line="240" w:lineRule="auto"/>
      <w:jc w:val="center"/>
    </w:pPr>
    <w:rPr>
      <w:rFonts w:ascii="Times New Roman" w:eastAsia="Times New Roman" w:hAnsi="Times New Roman" w:cs="Times New Roman"/>
      <w:i/>
      <w:noProof/>
      <w:szCs w:val="20"/>
      <w:lang w:eastAsia="hu-HU"/>
    </w:rPr>
  </w:style>
  <w:style w:type="character" w:customStyle="1" w:styleId="MEVbrafeliratChar">
    <w:name w:val="MEV ábrafelirat Char"/>
    <w:basedOn w:val="Bekezdsalapbettpusa"/>
    <w:link w:val="MEVbrafelirat"/>
    <w:rsid w:val="0048439E"/>
    <w:rPr>
      <w:rFonts w:ascii="Times New Roman" w:eastAsia="Times New Roman" w:hAnsi="Times New Roman" w:cs="Times New Roman"/>
      <w:i/>
      <w:noProof/>
      <w:szCs w:val="20"/>
      <w:lang w:eastAsia="hu-HU"/>
    </w:rPr>
  </w:style>
  <w:style w:type="character" w:customStyle="1" w:styleId="null">
    <w:name w:val="null"/>
    <w:basedOn w:val="Bekezdsalapbettpusa"/>
    <w:rsid w:val="0048439E"/>
  </w:style>
  <w:style w:type="paragraph" w:styleId="Vgjegyzetszvege">
    <w:name w:val="endnote text"/>
    <w:basedOn w:val="Norml"/>
    <w:link w:val="VgjegyzetszvegeChar1"/>
    <w:semiHidden/>
    <w:rsid w:val="0048439E"/>
    <w:pPr>
      <w:spacing w:after="0" w:line="240" w:lineRule="auto"/>
    </w:pPr>
    <w:rPr>
      <w:rFonts w:ascii="Times New Roman" w:eastAsia="Times New Roman" w:hAnsi="Times New Roman" w:cs="Times New Roman"/>
      <w:sz w:val="20"/>
      <w:szCs w:val="20"/>
      <w:lang w:eastAsia="hu-HU"/>
    </w:rPr>
  </w:style>
  <w:style w:type="character" w:customStyle="1" w:styleId="VgjegyzetszvegeChar">
    <w:name w:val="Végjegyzet szövege Char"/>
    <w:basedOn w:val="Bekezdsalapbettpusa"/>
    <w:uiPriority w:val="99"/>
    <w:semiHidden/>
    <w:rsid w:val="0048439E"/>
    <w:rPr>
      <w:sz w:val="20"/>
      <w:szCs w:val="20"/>
    </w:rPr>
  </w:style>
  <w:style w:type="character" w:customStyle="1" w:styleId="VgjegyzetszvegeChar1">
    <w:name w:val="Végjegyzet szövege Char1"/>
    <w:link w:val="Vgjegyzetszvege"/>
    <w:semiHidden/>
    <w:rsid w:val="0048439E"/>
    <w:rPr>
      <w:rFonts w:ascii="Times New Roman" w:eastAsia="Times New Roman" w:hAnsi="Times New Roman" w:cs="Times New Roman"/>
      <w:sz w:val="20"/>
      <w:szCs w:val="20"/>
      <w:lang w:eastAsia="hu-HU"/>
    </w:rPr>
  </w:style>
  <w:style w:type="paragraph" w:customStyle="1" w:styleId="EEMszveg">
    <w:name w:val="EEM_szöveg"/>
    <w:basedOn w:val="Szvegtrzs"/>
    <w:link w:val="EEMszvegChar"/>
    <w:rsid w:val="0048439E"/>
    <w:pPr>
      <w:spacing w:line="360" w:lineRule="auto"/>
      <w:ind w:firstLine="284"/>
      <w:jc w:val="both"/>
    </w:pPr>
    <w:rPr>
      <w:rFonts w:ascii="Arial" w:eastAsia="Times New Roman" w:hAnsi="Arial" w:cs="Times New Roman"/>
      <w:sz w:val="20"/>
      <w:szCs w:val="20"/>
      <w:lang w:eastAsia="hu-HU"/>
    </w:rPr>
  </w:style>
  <w:style w:type="character" w:customStyle="1" w:styleId="EEMszvegChar">
    <w:name w:val="EEM_szöveg Char"/>
    <w:basedOn w:val="Bekezdsalapbettpusa"/>
    <w:link w:val="EEMszveg"/>
    <w:rsid w:val="0048439E"/>
    <w:rPr>
      <w:rFonts w:ascii="Arial" w:eastAsia="Times New Roman" w:hAnsi="Arial" w:cs="Times New Roman"/>
      <w:sz w:val="20"/>
      <w:szCs w:val="20"/>
      <w:lang w:eastAsia="hu-HU"/>
    </w:rPr>
  </w:style>
  <w:style w:type="paragraph" w:customStyle="1" w:styleId="EEMszmozs">
    <w:name w:val="EEM_számozás"/>
    <w:basedOn w:val="EEMszveg"/>
    <w:link w:val="EEMszmozsChar"/>
    <w:rsid w:val="0048439E"/>
    <w:pPr>
      <w:numPr>
        <w:numId w:val="34"/>
      </w:numPr>
      <w:tabs>
        <w:tab w:val="left" w:pos="357"/>
      </w:tabs>
      <w:spacing w:line="240" w:lineRule="auto"/>
    </w:pPr>
    <w:rPr>
      <w:rFonts w:cs="Tahoma"/>
    </w:rPr>
  </w:style>
  <w:style w:type="character" w:customStyle="1" w:styleId="EEMszmozsChar">
    <w:name w:val="EEM_számozás Char"/>
    <w:basedOn w:val="EEMszvegChar"/>
    <w:link w:val="EEMszmozs"/>
    <w:rsid w:val="0048439E"/>
    <w:rPr>
      <w:rFonts w:ascii="Arial" w:eastAsia="Times New Roman" w:hAnsi="Arial" w:cs="Tahoma"/>
      <w:sz w:val="20"/>
      <w:szCs w:val="20"/>
      <w:lang w:eastAsia="hu-HU"/>
    </w:rPr>
  </w:style>
  <w:style w:type="paragraph" w:customStyle="1" w:styleId="EEMfejezet">
    <w:name w:val="EEM_fejezet"/>
    <w:basedOn w:val="Norml"/>
    <w:rsid w:val="0048439E"/>
    <w:pPr>
      <w:keepNext/>
      <w:keepLines/>
      <w:tabs>
        <w:tab w:val="num" w:pos="-360"/>
      </w:tabs>
      <w:spacing w:before="240" w:after="360" w:line="240" w:lineRule="auto"/>
    </w:pPr>
    <w:rPr>
      <w:rFonts w:ascii="Arial" w:eastAsia="Times New Roman" w:hAnsi="Arial" w:cs="Times New Roman"/>
      <w:b/>
      <w:bCs/>
      <w:smallCaps/>
      <w:kern w:val="28"/>
      <w:sz w:val="28"/>
      <w:szCs w:val="32"/>
      <w:lang w:val="en-US" w:eastAsia="hu-HU"/>
    </w:rPr>
  </w:style>
  <w:style w:type="paragraph" w:customStyle="1" w:styleId="EEMalfejezet">
    <w:name w:val="EEM_alfejezet"/>
    <w:basedOn w:val="Norml"/>
    <w:link w:val="EEMalfejezetChar"/>
    <w:rsid w:val="0048439E"/>
    <w:pPr>
      <w:keepNext/>
      <w:tabs>
        <w:tab w:val="num" w:pos="360"/>
        <w:tab w:val="num" w:pos="1080"/>
      </w:tabs>
      <w:spacing w:before="240" w:after="120" w:line="240" w:lineRule="auto"/>
      <w:outlineLvl w:val="1"/>
    </w:pPr>
    <w:rPr>
      <w:rFonts w:ascii="Arial" w:eastAsia="Times New Roman" w:hAnsi="Arial" w:cs="Times New Roman"/>
      <w:b/>
      <w:bCs/>
      <w:sz w:val="24"/>
      <w:szCs w:val="24"/>
      <w:lang w:eastAsia="hu-HU"/>
    </w:rPr>
  </w:style>
  <w:style w:type="character" w:customStyle="1" w:styleId="EEMalfejezetChar">
    <w:name w:val="EEM_alfejezet Char"/>
    <w:basedOn w:val="Bekezdsalapbettpusa"/>
    <w:link w:val="EEMalfejezet"/>
    <w:rsid w:val="0048439E"/>
    <w:rPr>
      <w:rFonts w:ascii="Arial" w:eastAsia="Times New Roman" w:hAnsi="Arial" w:cs="Times New Roman"/>
      <w:b/>
      <w:bCs/>
      <w:sz w:val="24"/>
      <w:szCs w:val="24"/>
      <w:lang w:eastAsia="hu-HU"/>
    </w:rPr>
  </w:style>
  <w:style w:type="paragraph" w:customStyle="1" w:styleId="EEMfelsorols">
    <w:name w:val="EEM felsorolás"/>
    <w:basedOn w:val="Szvegtrzs"/>
    <w:link w:val="EEMfelsorolsChar"/>
    <w:rsid w:val="0048439E"/>
    <w:pPr>
      <w:numPr>
        <w:numId w:val="35"/>
      </w:numPr>
      <w:spacing w:line="360" w:lineRule="auto"/>
      <w:jc w:val="both"/>
    </w:pPr>
    <w:rPr>
      <w:rFonts w:ascii="Arial" w:eastAsia="Times New Roman" w:hAnsi="Arial" w:cs="Tahoma"/>
      <w:sz w:val="20"/>
      <w:szCs w:val="20"/>
      <w:lang w:eastAsia="hu-HU"/>
    </w:rPr>
  </w:style>
  <w:style w:type="character" w:customStyle="1" w:styleId="EEMfelsorolsChar">
    <w:name w:val="EEM felsorolás Char"/>
    <w:basedOn w:val="Bekezdsalapbettpusa"/>
    <w:link w:val="EEMfelsorols"/>
    <w:rsid w:val="0048439E"/>
    <w:rPr>
      <w:rFonts w:ascii="Arial" w:eastAsia="Times New Roman" w:hAnsi="Arial" w:cs="Tahoma"/>
      <w:sz w:val="20"/>
      <w:szCs w:val="20"/>
      <w:lang w:eastAsia="hu-HU"/>
    </w:rPr>
  </w:style>
  <w:style w:type="paragraph" w:customStyle="1" w:styleId="EEMbraalrs">
    <w:name w:val="EEM_ábraaláírás"/>
    <w:basedOn w:val="Norml"/>
    <w:link w:val="EEMbraalrsChar"/>
    <w:rsid w:val="0048439E"/>
    <w:pPr>
      <w:spacing w:before="120" w:after="240" w:line="240" w:lineRule="auto"/>
      <w:jc w:val="center"/>
    </w:pPr>
    <w:rPr>
      <w:rFonts w:ascii="Arial" w:eastAsia="Times New Roman" w:hAnsi="Arial" w:cs="Tahoma"/>
      <w:b/>
      <w:sz w:val="16"/>
      <w:szCs w:val="20"/>
      <w:lang w:eastAsia="hu-HU"/>
    </w:rPr>
  </w:style>
  <w:style w:type="paragraph" w:customStyle="1" w:styleId="EEMrszfejezet">
    <w:name w:val="EEM_részfejezet"/>
    <w:basedOn w:val="Norml"/>
    <w:rsid w:val="0048439E"/>
    <w:pPr>
      <w:keepNext/>
      <w:tabs>
        <w:tab w:val="num" w:pos="360"/>
        <w:tab w:val="num" w:pos="1800"/>
      </w:tabs>
      <w:spacing w:before="360" w:after="120" w:line="240" w:lineRule="auto"/>
      <w:ind w:left="1440"/>
      <w:outlineLvl w:val="1"/>
    </w:pPr>
    <w:rPr>
      <w:rFonts w:ascii="Arial" w:eastAsia="Times New Roman" w:hAnsi="Arial" w:cs="Tahoma"/>
      <w:b/>
      <w:bCs/>
      <w:sz w:val="20"/>
      <w:szCs w:val="20"/>
      <w:lang w:eastAsia="hu-HU"/>
    </w:rPr>
  </w:style>
  <w:style w:type="character" w:customStyle="1" w:styleId="EEMbraalrsChar">
    <w:name w:val="EEM_ábraaláírás Char"/>
    <w:basedOn w:val="Bekezdsalapbettpusa"/>
    <w:link w:val="EEMbraalrs"/>
    <w:rsid w:val="0048439E"/>
    <w:rPr>
      <w:rFonts w:ascii="Arial" w:eastAsia="Times New Roman" w:hAnsi="Arial" w:cs="Tahoma"/>
      <w:b/>
      <w:sz w:val="16"/>
      <w:szCs w:val="20"/>
      <w:lang w:eastAsia="hu-HU"/>
    </w:rPr>
  </w:style>
  <w:style w:type="paragraph" w:customStyle="1" w:styleId="Default">
    <w:name w:val="Default"/>
    <w:rsid w:val="0048439E"/>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reference-text">
    <w:name w:val="reference-text"/>
    <w:basedOn w:val="Bekezdsalapbettpusa"/>
    <w:rsid w:val="0048439E"/>
  </w:style>
  <w:style w:type="character" w:customStyle="1" w:styleId="Feloldatlanmegemlts1">
    <w:name w:val="Feloldatlan megemlítés1"/>
    <w:basedOn w:val="Bekezdsalapbettpusa"/>
    <w:uiPriority w:val="99"/>
    <w:semiHidden/>
    <w:unhideWhenUsed/>
    <w:rsid w:val="0048439E"/>
    <w:rPr>
      <w:color w:val="605E5C"/>
      <w:shd w:val="clear" w:color="auto" w:fill="E1DFDD"/>
    </w:rPr>
  </w:style>
  <w:style w:type="paragraph" w:customStyle="1" w:styleId="HV5szint">
    <w:name w:val="HV_5.szint"/>
    <w:basedOn w:val="HV4cimsor"/>
    <w:link w:val="HV5szintChar"/>
    <w:qFormat/>
    <w:rsid w:val="0048439E"/>
    <w:pPr>
      <w:outlineLvl w:val="2"/>
    </w:pPr>
    <w:rPr>
      <w:b w:val="0"/>
      <w:i/>
    </w:rPr>
  </w:style>
  <w:style w:type="character" w:customStyle="1" w:styleId="HV5szintChar">
    <w:name w:val="HV_5.szint Char"/>
    <w:basedOn w:val="HV4cimsorChar"/>
    <w:link w:val="HV5szint"/>
    <w:rsid w:val="0048439E"/>
    <w:rPr>
      <w:rFonts w:eastAsiaTheme="minorHAnsi"/>
      <w:b w:val="0"/>
      <w:i/>
      <w:sz w:val="20"/>
      <w:szCs w:val="20"/>
    </w:rPr>
  </w:style>
  <w:style w:type="character" w:customStyle="1" w:styleId="KpalrsChar">
    <w:name w:val="Képaláírás Char"/>
    <w:link w:val="Kpalrs"/>
    <w:uiPriority w:val="35"/>
    <w:locked/>
    <w:rsid w:val="0048439E"/>
    <w:rPr>
      <w:i/>
      <w:iCs/>
      <w:color w:val="44546A" w:themeColor="text2"/>
      <w:sz w:val="18"/>
      <w:szCs w:val="18"/>
    </w:rPr>
  </w:style>
  <w:style w:type="character" w:customStyle="1" w:styleId="apple-converted-space">
    <w:name w:val="apple-converted-space"/>
    <w:basedOn w:val="Bekezdsalapbettpusa"/>
    <w:rsid w:val="0048439E"/>
  </w:style>
  <w:style w:type="paragraph" w:styleId="Dokumentumtrkp">
    <w:name w:val="Document Map"/>
    <w:basedOn w:val="Norml"/>
    <w:link w:val="DokumentumtrkpChar"/>
    <w:uiPriority w:val="99"/>
    <w:semiHidden/>
    <w:unhideWhenUsed/>
    <w:rsid w:val="0048439E"/>
    <w:pPr>
      <w:spacing w:after="0" w:line="240" w:lineRule="auto"/>
    </w:pPr>
    <w:rPr>
      <w:rFonts w:ascii="Times New Roman" w:eastAsia="Times New Roman" w:hAnsi="Times New Roman" w:cs="Times New Roman"/>
      <w:sz w:val="24"/>
      <w:szCs w:val="24"/>
      <w:lang w:eastAsia="hu-HU"/>
    </w:rPr>
  </w:style>
  <w:style w:type="character" w:customStyle="1" w:styleId="DokumentumtrkpChar">
    <w:name w:val="Dokumentumtérkép Char"/>
    <w:basedOn w:val="Bekezdsalapbettpusa"/>
    <w:link w:val="Dokumentumtrkp"/>
    <w:uiPriority w:val="99"/>
    <w:semiHidden/>
    <w:rsid w:val="0048439E"/>
    <w:rPr>
      <w:rFonts w:ascii="Times New Roman" w:eastAsia="Times New Roman" w:hAnsi="Times New Roman" w:cs="Times New Roman"/>
      <w:sz w:val="24"/>
      <w:szCs w:val="24"/>
      <w:lang w:eastAsia="hu-HU"/>
    </w:rPr>
  </w:style>
  <w:style w:type="paragraph" w:customStyle="1" w:styleId="Fejezetcm">
    <w:name w:val="Fejezetcím"/>
    <w:basedOn w:val="Norml"/>
    <w:qFormat/>
    <w:rsid w:val="0048439E"/>
    <w:pPr>
      <w:spacing w:after="0" w:line="240" w:lineRule="auto"/>
    </w:pPr>
    <w:rPr>
      <w:rFonts w:ascii="Avenir Next Condensed" w:eastAsia="Times New Roman" w:hAnsi="Avenir Next Condensed" w:cs="Baghdad"/>
      <w:b/>
      <w:smallCaps/>
      <w:sz w:val="32"/>
      <w:szCs w:val="24"/>
      <w:lang w:eastAsia="hu-HU"/>
    </w:rPr>
  </w:style>
  <w:style w:type="paragraph" w:customStyle="1" w:styleId="SZVAlcm">
    <w:name w:val="SZV_Alcím"/>
    <w:basedOn w:val="Norml"/>
    <w:qFormat/>
    <w:rsid w:val="0048439E"/>
    <w:pPr>
      <w:spacing w:after="0" w:line="240" w:lineRule="auto"/>
    </w:pPr>
    <w:rPr>
      <w:rFonts w:ascii="Avenir Next Condensed" w:eastAsia="Times New Roman" w:hAnsi="Avenir Next Condensed" w:cs="Baghdad"/>
      <w:smallCaps/>
      <w:sz w:val="28"/>
      <w:szCs w:val="24"/>
      <w:lang w:eastAsia="hu-HU"/>
    </w:rPr>
  </w:style>
  <w:style w:type="paragraph" w:customStyle="1" w:styleId="SZVrszcm">
    <w:name w:val="SZV_részcím"/>
    <w:basedOn w:val="Norml"/>
    <w:qFormat/>
    <w:rsid w:val="0048439E"/>
    <w:pPr>
      <w:spacing w:after="0" w:line="240" w:lineRule="auto"/>
    </w:pPr>
    <w:rPr>
      <w:rFonts w:ascii="Avenir Next Condensed" w:eastAsia="Times New Roman" w:hAnsi="Avenir Next Condensed" w:cs="Baghdad"/>
      <w:smallCaps/>
      <w:sz w:val="24"/>
      <w:szCs w:val="24"/>
      <w:lang w:eastAsia="hu-HU"/>
    </w:rPr>
  </w:style>
  <w:style w:type="paragraph" w:customStyle="1" w:styleId="SZVFejezetcm">
    <w:name w:val="SZV_Fejezetcím"/>
    <w:basedOn w:val="Norml"/>
    <w:qFormat/>
    <w:rsid w:val="0048439E"/>
    <w:pPr>
      <w:spacing w:after="0" w:line="240" w:lineRule="auto"/>
    </w:pPr>
    <w:rPr>
      <w:rFonts w:ascii="Avenir Next Condensed" w:eastAsia="Times New Roman" w:hAnsi="Avenir Next Condensed" w:cs="Baghdad"/>
      <w:b/>
      <w:smallCaps/>
      <w:sz w:val="32"/>
      <w:szCs w:val="24"/>
      <w:lang w:eastAsia="hu-HU"/>
    </w:rPr>
  </w:style>
  <w:style w:type="paragraph" w:customStyle="1" w:styleId="SZVabranev">
    <w:name w:val="SZV_abranev"/>
    <w:basedOn w:val="Norml"/>
    <w:qFormat/>
    <w:rsid w:val="0048439E"/>
    <w:pPr>
      <w:spacing w:after="0" w:line="240" w:lineRule="auto"/>
      <w:jc w:val="center"/>
    </w:pPr>
    <w:rPr>
      <w:rFonts w:ascii="Avenir Next Condensed" w:eastAsia="Times New Roman" w:hAnsi="Avenir Next Condensed" w:cs="Baghdad"/>
      <w:b/>
      <w:sz w:val="15"/>
      <w:szCs w:val="15"/>
      <w:lang w:eastAsia="hu-HU"/>
    </w:rPr>
  </w:style>
  <w:style w:type="paragraph" w:customStyle="1" w:styleId="SZVTablazatnev">
    <w:name w:val="SZV_Tablazatnev"/>
    <w:basedOn w:val="Norml"/>
    <w:qFormat/>
    <w:rsid w:val="0048439E"/>
    <w:pPr>
      <w:spacing w:after="0" w:line="240" w:lineRule="auto"/>
      <w:jc w:val="center"/>
    </w:pPr>
    <w:rPr>
      <w:rFonts w:ascii="Avenir Next Condensed" w:eastAsia="Times New Roman" w:hAnsi="Avenir Next Condensed" w:cs="Baghdad"/>
      <w:b/>
      <w:sz w:val="15"/>
      <w:szCs w:val="15"/>
      <w:lang w:eastAsia="hu-HU"/>
    </w:rPr>
  </w:style>
  <w:style w:type="paragraph" w:customStyle="1" w:styleId="felsorols">
    <w:name w:val="felsorolás"/>
    <w:basedOn w:val="Listaszerbekezds"/>
    <w:link w:val="felsorolsChar"/>
    <w:qFormat/>
    <w:rsid w:val="00BA5D17"/>
    <w:pPr>
      <w:numPr>
        <w:numId w:val="36"/>
      </w:numPr>
      <w:spacing w:after="60" w:line="240" w:lineRule="auto"/>
    </w:pPr>
    <w:rPr>
      <w:rFonts w:cs="Times New Roman"/>
      <w:szCs w:val="24"/>
    </w:rPr>
  </w:style>
  <w:style w:type="paragraph" w:customStyle="1" w:styleId="Stlus2">
    <w:name w:val="Stílus2"/>
    <w:basedOn w:val="Listaszerbekezds"/>
    <w:link w:val="Stlus2Char"/>
    <w:qFormat/>
    <w:rsid w:val="00BA5D17"/>
    <w:pPr>
      <w:numPr>
        <w:numId w:val="37"/>
      </w:numPr>
      <w:ind w:left="567" w:firstLine="709"/>
    </w:pPr>
  </w:style>
  <w:style w:type="character" w:customStyle="1" w:styleId="ListaszerbekezdsChar">
    <w:name w:val="Listaszerű bekezdés Char"/>
    <w:aliases w:val="felsorolás_MEV Char"/>
    <w:basedOn w:val="Bekezdsalapbettpusa"/>
    <w:link w:val="Listaszerbekezds"/>
    <w:uiPriority w:val="34"/>
    <w:rsid w:val="00BA5D17"/>
    <w:rPr>
      <w:rFonts w:ascii="Times New Roman" w:hAnsi="Times New Roman"/>
      <w:color w:val="000000" w:themeColor="text1"/>
      <w:sz w:val="24"/>
    </w:rPr>
  </w:style>
  <w:style w:type="character" w:customStyle="1" w:styleId="felsorolsChar">
    <w:name w:val="felsorolás Char"/>
    <w:basedOn w:val="ListaszerbekezdsChar"/>
    <w:link w:val="felsorols"/>
    <w:rsid w:val="00BA5D17"/>
    <w:rPr>
      <w:rFonts w:ascii="Times New Roman" w:hAnsi="Times New Roman" w:cs="Times New Roman"/>
      <w:color w:val="000000" w:themeColor="text1"/>
      <w:sz w:val="24"/>
      <w:szCs w:val="24"/>
    </w:rPr>
  </w:style>
  <w:style w:type="character" w:customStyle="1" w:styleId="Stlus2Char">
    <w:name w:val="Stílus2 Char"/>
    <w:basedOn w:val="ListaszerbekezdsChar"/>
    <w:link w:val="Stlus2"/>
    <w:rsid w:val="00BA5D17"/>
    <w:rPr>
      <w:rFonts w:ascii="Times New Roman" w:hAnsi="Times New Roman"/>
      <w:color w:val="000000" w:themeColor="text1"/>
      <w:sz w:val="24"/>
    </w:rPr>
  </w:style>
  <w:style w:type="paragraph" w:customStyle="1" w:styleId="Stlus3">
    <w:name w:val="Stílus3"/>
    <w:basedOn w:val="Cmsor2"/>
    <w:link w:val="Stlus3Char"/>
    <w:qFormat/>
    <w:rsid w:val="00CC5656"/>
    <w:pPr>
      <w:ind w:firstLine="709"/>
    </w:pPr>
    <w:rPr>
      <w:rFonts w:ascii="Times New Roman" w:eastAsia="Times New Roman" w:hAnsi="Times New Roman" w:cs="Times New Roman"/>
      <w:b/>
      <w:sz w:val="24"/>
      <w:szCs w:val="24"/>
      <w:lang w:eastAsia="hu-HU"/>
    </w:rPr>
  </w:style>
  <w:style w:type="character" w:customStyle="1" w:styleId="Stlus3Char">
    <w:name w:val="Stílus3 Char"/>
    <w:basedOn w:val="Cmsor2Char"/>
    <w:link w:val="Stlus3"/>
    <w:rsid w:val="00CC5656"/>
    <w:rPr>
      <w:rFonts w:ascii="Times New Roman" w:eastAsia="Times New Roman" w:hAnsi="Times New Roman" w:cs="Times New Roman"/>
      <w:b/>
      <w:color w:val="262626" w:themeColor="text1" w:themeTint="D9"/>
      <w:sz w:val="24"/>
      <w:szCs w:val="24"/>
      <w:lang w:eastAsia="hu-HU"/>
    </w:rPr>
  </w:style>
  <w:style w:type="character" w:styleId="Feloldatlanmegemlts">
    <w:name w:val="Unresolved Mention"/>
    <w:basedOn w:val="Bekezdsalapbettpusa"/>
    <w:uiPriority w:val="99"/>
    <w:semiHidden/>
    <w:unhideWhenUsed/>
    <w:rsid w:val="007D587C"/>
    <w:rPr>
      <w:color w:val="605E5C"/>
      <w:shd w:val="clear" w:color="auto" w:fill="E1DFDD"/>
    </w:rPr>
  </w:style>
  <w:style w:type="numbering" w:customStyle="1" w:styleId="CurrentList1">
    <w:name w:val="Current List1"/>
    <w:uiPriority w:val="99"/>
    <w:rsid w:val="007D587C"/>
    <w:pPr>
      <w:numPr>
        <w:numId w:val="41"/>
      </w:numPr>
    </w:pPr>
  </w:style>
  <w:style w:type="paragraph" w:customStyle="1" w:styleId="ForrasAbra">
    <w:name w:val="ForrasAbra"/>
    <w:basedOn w:val="Norml"/>
    <w:qFormat/>
    <w:rsid w:val="007D587C"/>
    <w:pPr>
      <w:spacing w:after="240" w:line="240" w:lineRule="auto"/>
      <w:jc w:val="center"/>
    </w:pPr>
    <w:rPr>
      <w:rFonts w:ascii="Avenir Next Condensed" w:eastAsiaTheme="minorHAnsi" w:hAnsi="Avenir Next Condensed"/>
      <w:i/>
      <w:sz w:val="18"/>
      <w:szCs w:val="18"/>
    </w:rPr>
  </w:style>
  <w:style w:type="paragraph" w:customStyle="1" w:styleId="CaptionAbra">
    <w:name w:val="CaptionAbra"/>
    <w:basedOn w:val="Kpalrs"/>
    <w:qFormat/>
    <w:rsid w:val="007D587C"/>
    <w:pPr>
      <w:keepNext/>
      <w:spacing w:after="0"/>
      <w:jc w:val="center"/>
    </w:pPr>
    <w:rPr>
      <w:rFonts w:ascii="Avenir Next Condensed" w:eastAsiaTheme="minorHAnsi" w:hAnsi="Avenir Next Condensed"/>
      <w:noProof/>
      <w:color w:val="000000" w:themeColor="text1"/>
    </w:rPr>
  </w:style>
  <w:style w:type="paragraph" w:customStyle="1" w:styleId="Heading1nonumbering">
    <w:name w:val="Heading 1_no numbering"/>
    <w:basedOn w:val="Cmsor1"/>
    <w:qFormat/>
    <w:rsid w:val="007D587C"/>
    <w:pPr>
      <w:spacing w:after="120" w:line="240" w:lineRule="auto"/>
      <w:jc w:val="both"/>
    </w:pPr>
    <w:rPr>
      <w:rFonts w:ascii="Roboto" w:hAnsi="Roboto"/>
      <w:b/>
      <w:bCs/>
      <w:color w:val="000000" w:themeColor="text1"/>
      <w:lang w:val="en-US"/>
    </w:rPr>
  </w:style>
  <w:style w:type="paragraph" w:customStyle="1" w:styleId="ForrasTablazat">
    <w:name w:val="ForrasTablazat"/>
    <w:basedOn w:val="Norml"/>
    <w:qFormat/>
    <w:rsid w:val="007D587C"/>
    <w:pPr>
      <w:spacing w:before="120" w:after="240" w:line="240" w:lineRule="auto"/>
      <w:jc w:val="both"/>
    </w:pPr>
    <w:rPr>
      <w:rFonts w:ascii="Avenir Next Condensed" w:eastAsiaTheme="minorHAnsi" w:hAnsi="Avenir Next Condensed"/>
      <w:i/>
      <w:sz w:val="18"/>
      <w:szCs w:val="18"/>
    </w:rPr>
  </w:style>
  <w:style w:type="numbering" w:customStyle="1" w:styleId="CurrentList2">
    <w:name w:val="Current List2"/>
    <w:uiPriority w:val="99"/>
    <w:rsid w:val="007D587C"/>
    <w:pPr>
      <w:numPr>
        <w:numId w:val="42"/>
      </w:numPr>
    </w:pPr>
  </w:style>
  <w:style w:type="character" w:styleId="Helyrzszveg">
    <w:name w:val="Placeholder Text"/>
    <w:basedOn w:val="Bekezdsalapbettpusa"/>
    <w:uiPriority w:val="99"/>
    <w:semiHidden/>
    <w:rsid w:val="007D587C"/>
    <w:rPr>
      <w:color w:val="808080"/>
    </w:rPr>
  </w:style>
  <w:style w:type="numbering" w:customStyle="1" w:styleId="NoList1">
    <w:name w:val="No List1"/>
    <w:next w:val="Nemlista"/>
    <w:uiPriority w:val="99"/>
    <w:semiHidden/>
    <w:unhideWhenUsed/>
    <w:rsid w:val="007D587C"/>
  </w:style>
  <w:style w:type="table" w:customStyle="1" w:styleId="Rcsostblzat13">
    <w:name w:val="Rácsos táblázat13"/>
    <w:basedOn w:val="Normltblzat"/>
    <w:next w:val="Rcsostblzat"/>
    <w:uiPriority w:val="39"/>
    <w:rsid w:val="007D587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lislista1">
    <w:name w:val="Aktuális lista1"/>
    <w:uiPriority w:val="99"/>
    <w:rsid w:val="007D587C"/>
    <w:pPr>
      <w:numPr>
        <w:numId w:val="60"/>
      </w:numPr>
    </w:pPr>
  </w:style>
  <w:style w:type="table" w:customStyle="1" w:styleId="Rcsostblzat1">
    <w:name w:val="Rácsos táblázat1"/>
    <w:basedOn w:val="Normltblzat"/>
    <w:next w:val="Rcsostblzat"/>
    <w:uiPriority w:val="39"/>
    <w:rsid w:val="007D587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emlista"/>
    <w:uiPriority w:val="99"/>
    <w:semiHidden/>
    <w:unhideWhenUsed/>
    <w:rsid w:val="007D587C"/>
  </w:style>
  <w:style w:type="numbering" w:customStyle="1" w:styleId="Aktulislista11">
    <w:name w:val="Aktuális lista11"/>
    <w:uiPriority w:val="99"/>
    <w:rsid w:val="007D587C"/>
  </w:style>
  <w:style w:type="numbering" w:customStyle="1" w:styleId="NoList3">
    <w:name w:val="No List3"/>
    <w:next w:val="Nemlista"/>
    <w:uiPriority w:val="99"/>
    <w:semiHidden/>
    <w:unhideWhenUsed/>
    <w:rsid w:val="007D587C"/>
  </w:style>
  <w:style w:type="numbering" w:customStyle="1" w:styleId="Aktulislista12">
    <w:name w:val="Aktuális lista12"/>
    <w:uiPriority w:val="99"/>
    <w:rsid w:val="007D587C"/>
  </w:style>
  <w:style w:type="numbering" w:customStyle="1" w:styleId="NoList4">
    <w:name w:val="No List4"/>
    <w:next w:val="Nemlista"/>
    <w:uiPriority w:val="99"/>
    <w:semiHidden/>
    <w:unhideWhenUsed/>
    <w:rsid w:val="007D587C"/>
  </w:style>
  <w:style w:type="numbering" w:customStyle="1" w:styleId="CurrentList11">
    <w:name w:val="Current List11"/>
    <w:uiPriority w:val="99"/>
    <w:rsid w:val="007D587C"/>
  </w:style>
  <w:style w:type="numbering" w:customStyle="1" w:styleId="CurrentList21">
    <w:name w:val="Current List21"/>
    <w:uiPriority w:val="99"/>
    <w:rsid w:val="007D5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9.png"/><Relationship Id="rId39" Type="http://schemas.openxmlformats.org/officeDocument/2006/relationships/image" Target="media/image17.jpg"/><Relationship Id="rId21" Type="http://schemas.openxmlformats.org/officeDocument/2006/relationships/diagramColors" Target="diagrams/colors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image" Target="media/image19.emf"/><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diagramLayout" Target="diagrams/layout3.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footer" Target="footer1.xml"/><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birosag.hu/civil-szervezetek-nevjegyzeke" TargetMode="External"/><Relationship Id="rId1" Type="http://schemas.openxmlformats.org/officeDocument/2006/relationships/hyperlink" Target="https://www.e-cegjegyzek.hu"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042D19-3223-4474-88E0-E71A24F43B68}" type="doc">
      <dgm:prSet loTypeId="urn:microsoft.com/office/officeart/2005/8/layout/process1" loCatId="process" qsTypeId="urn:microsoft.com/office/officeart/2005/8/quickstyle/simple1" qsCatId="simple" csTypeId="urn:microsoft.com/office/officeart/2005/8/colors/accent1_1" csCatId="accent1" phldr="1"/>
      <dgm:spPr/>
    </dgm:pt>
    <dgm:pt modelId="{6463F4A8-835B-4EAA-9313-E11813831ED5}">
      <dgm:prSet phldrT="[Szöveg]" custT="1"/>
      <dgm:spPr>
        <a:ln w="38100">
          <a:solidFill>
            <a:schemeClr val="accent1"/>
          </a:solidFill>
        </a:ln>
      </dgm:spPr>
      <dgm:t>
        <a:bodyPr/>
        <a:lstStyle/>
        <a:p>
          <a:r>
            <a:rPr lang="hu-HU" sz="1200" dirty="0">
              <a:latin typeface="Times New Roman" panose="02020603050405020304" pitchFamily="18" charset="0"/>
              <a:cs typeface="Times New Roman" panose="02020603050405020304" pitchFamily="18" charset="0"/>
            </a:rPr>
            <a:t>A versenytársak </a:t>
          </a:r>
          <a:r>
            <a:rPr lang="hu-HU" sz="1200" b="1" dirty="0">
              <a:latin typeface="Times New Roman" panose="02020603050405020304" pitchFamily="18" charset="0"/>
              <a:cs typeface="Times New Roman" panose="02020603050405020304" pitchFamily="18" charset="0"/>
            </a:rPr>
            <a:t>azonosítása</a:t>
          </a:r>
        </a:p>
      </dgm:t>
    </dgm:pt>
    <dgm:pt modelId="{D95CD0B9-D95D-4AFE-A582-4C55A9C8CC80}" type="parTrans" cxnId="{532A0687-C867-43FD-9BBD-0B1B6E92F256}">
      <dgm:prSet/>
      <dgm:spPr/>
      <dgm:t>
        <a:bodyPr/>
        <a:lstStyle/>
        <a:p>
          <a:endParaRPr lang="hu-HU" sz="1200">
            <a:latin typeface="Times New Roman" panose="02020603050405020304" pitchFamily="18" charset="0"/>
            <a:cs typeface="Times New Roman" panose="02020603050405020304" pitchFamily="18" charset="0"/>
          </a:endParaRPr>
        </a:p>
      </dgm:t>
    </dgm:pt>
    <dgm:pt modelId="{CA28C18E-F2D8-4450-AA99-1AAFF72FE9FE}" type="sibTrans" cxnId="{532A0687-C867-43FD-9BBD-0B1B6E92F256}">
      <dgm:prSet custT="1"/>
      <dgm:spPr/>
      <dgm:t>
        <a:bodyPr/>
        <a:lstStyle/>
        <a:p>
          <a:endParaRPr lang="hu-HU" sz="1200">
            <a:latin typeface="Times New Roman" panose="02020603050405020304" pitchFamily="18" charset="0"/>
            <a:cs typeface="Times New Roman" panose="02020603050405020304" pitchFamily="18" charset="0"/>
          </a:endParaRPr>
        </a:p>
      </dgm:t>
    </dgm:pt>
    <dgm:pt modelId="{6AF17B59-60CC-4F84-9731-634D923D5FAD}">
      <dgm:prSet phldrT="[Szöveg]" custT="1"/>
      <dgm:spPr>
        <a:ln w="38100">
          <a:solidFill>
            <a:schemeClr val="accent1"/>
          </a:solidFill>
        </a:ln>
      </dgm:spPr>
      <dgm:t>
        <a:bodyPr/>
        <a:lstStyle/>
        <a:p>
          <a:r>
            <a:rPr lang="hu-HU" sz="1200" dirty="0">
              <a:latin typeface="Times New Roman" panose="02020603050405020304" pitchFamily="18" charset="0"/>
              <a:cs typeface="Times New Roman" panose="02020603050405020304" pitchFamily="18" charset="0"/>
            </a:rPr>
            <a:t>A versenytársak céljainak, stratégiáinak, erősségeinek, gyengeségeinek </a:t>
          </a:r>
          <a:r>
            <a:rPr lang="hu-HU" sz="1200" b="1" dirty="0">
              <a:latin typeface="Times New Roman" panose="02020603050405020304" pitchFamily="18" charset="0"/>
              <a:cs typeface="Times New Roman" panose="02020603050405020304" pitchFamily="18" charset="0"/>
            </a:rPr>
            <a:t>értékelése</a:t>
          </a:r>
        </a:p>
      </dgm:t>
    </dgm:pt>
    <dgm:pt modelId="{F1BAA6D7-840E-4EE0-A69F-AFFF415ADE70}" type="parTrans" cxnId="{823D373B-8A02-4F6D-8B4A-1CAD384C1357}">
      <dgm:prSet/>
      <dgm:spPr/>
      <dgm:t>
        <a:bodyPr/>
        <a:lstStyle/>
        <a:p>
          <a:endParaRPr lang="hu-HU" sz="1200">
            <a:latin typeface="Times New Roman" panose="02020603050405020304" pitchFamily="18" charset="0"/>
            <a:cs typeface="Times New Roman" panose="02020603050405020304" pitchFamily="18" charset="0"/>
          </a:endParaRPr>
        </a:p>
      </dgm:t>
    </dgm:pt>
    <dgm:pt modelId="{63A9F0C3-4A81-4208-8FE3-197415DECBC9}" type="sibTrans" cxnId="{823D373B-8A02-4F6D-8B4A-1CAD384C1357}">
      <dgm:prSet custT="1"/>
      <dgm:spPr/>
      <dgm:t>
        <a:bodyPr/>
        <a:lstStyle/>
        <a:p>
          <a:endParaRPr lang="hu-HU" sz="1200">
            <a:latin typeface="Times New Roman" panose="02020603050405020304" pitchFamily="18" charset="0"/>
            <a:cs typeface="Times New Roman" panose="02020603050405020304" pitchFamily="18" charset="0"/>
          </a:endParaRPr>
        </a:p>
      </dgm:t>
    </dgm:pt>
    <dgm:pt modelId="{13B19D05-A05E-40D0-B0F3-174638C0C7AA}">
      <dgm:prSet phldrT="[Szöveg]" custT="1"/>
      <dgm:spPr>
        <a:ln w="38100">
          <a:solidFill>
            <a:schemeClr val="accent1"/>
          </a:solidFill>
        </a:ln>
      </dgm:spPr>
      <dgm:t>
        <a:bodyPr/>
        <a:lstStyle/>
        <a:p>
          <a:r>
            <a:rPr lang="hu-HU" sz="1200" b="0" dirty="0">
              <a:latin typeface="Times New Roman" panose="02020603050405020304" pitchFamily="18" charset="0"/>
              <a:cs typeface="Times New Roman" panose="02020603050405020304" pitchFamily="18" charset="0"/>
            </a:rPr>
            <a:t>Azon versenytársak </a:t>
          </a:r>
          <a:r>
            <a:rPr lang="hu-HU" sz="1200" b="1" dirty="0">
              <a:latin typeface="Times New Roman" panose="02020603050405020304" pitchFamily="18" charset="0"/>
              <a:cs typeface="Times New Roman" panose="02020603050405020304" pitchFamily="18" charset="0"/>
            </a:rPr>
            <a:t>kiválasztása</a:t>
          </a:r>
          <a:r>
            <a:rPr lang="hu-HU" sz="1200" dirty="0">
              <a:latin typeface="Times New Roman" panose="02020603050405020304" pitchFamily="18" charset="0"/>
              <a:cs typeface="Times New Roman" panose="02020603050405020304" pitchFamily="18" charset="0"/>
            </a:rPr>
            <a:t>, amelyeket megtámadni, vagy elkerülni akar a cég</a:t>
          </a:r>
        </a:p>
      </dgm:t>
    </dgm:pt>
    <dgm:pt modelId="{DEA0902F-A927-4CAA-AF3C-0FBF92D13A1F}" type="parTrans" cxnId="{687C621B-A3BC-42AF-B4EB-70C5863B9C24}">
      <dgm:prSet/>
      <dgm:spPr/>
      <dgm:t>
        <a:bodyPr/>
        <a:lstStyle/>
        <a:p>
          <a:endParaRPr lang="hu-HU" sz="1200">
            <a:latin typeface="Times New Roman" panose="02020603050405020304" pitchFamily="18" charset="0"/>
            <a:cs typeface="Times New Roman" panose="02020603050405020304" pitchFamily="18" charset="0"/>
          </a:endParaRPr>
        </a:p>
      </dgm:t>
    </dgm:pt>
    <dgm:pt modelId="{059531ED-9762-4679-9514-A4640B6A8D21}" type="sibTrans" cxnId="{687C621B-A3BC-42AF-B4EB-70C5863B9C24}">
      <dgm:prSet/>
      <dgm:spPr/>
      <dgm:t>
        <a:bodyPr/>
        <a:lstStyle/>
        <a:p>
          <a:endParaRPr lang="hu-HU" sz="1200">
            <a:latin typeface="Times New Roman" panose="02020603050405020304" pitchFamily="18" charset="0"/>
            <a:cs typeface="Times New Roman" panose="02020603050405020304" pitchFamily="18" charset="0"/>
          </a:endParaRPr>
        </a:p>
      </dgm:t>
    </dgm:pt>
    <dgm:pt modelId="{9DBBB000-A717-4E81-AFDA-971F4307D5FB}" type="pres">
      <dgm:prSet presAssocID="{72042D19-3223-4474-88E0-E71A24F43B68}" presName="Name0" presStyleCnt="0">
        <dgm:presLayoutVars>
          <dgm:dir/>
          <dgm:resizeHandles val="exact"/>
        </dgm:presLayoutVars>
      </dgm:prSet>
      <dgm:spPr/>
    </dgm:pt>
    <dgm:pt modelId="{432D8BBC-7948-4E63-967F-FD34A39F2865}" type="pres">
      <dgm:prSet presAssocID="{6463F4A8-835B-4EAA-9313-E11813831ED5}" presName="node" presStyleLbl="node1" presStyleIdx="0" presStyleCnt="3">
        <dgm:presLayoutVars>
          <dgm:bulletEnabled val="1"/>
        </dgm:presLayoutVars>
      </dgm:prSet>
      <dgm:spPr/>
    </dgm:pt>
    <dgm:pt modelId="{FDC02DD3-D062-48BD-9407-D7F637599B3C}" type="pres">
      <dgm:prSet presAssocID="{CA28C18E-F2D8-4450-AA99-1AAFF72FE9FE}" presName="sibTrans" presStyleLbl="sibTrans2D1" presStyleIdx="0" presStyleCnt="2"/>
      <dgm:spPr/>
    </dgm:pt>
    <dgm:pt modelId="{C144D14C-D65E-49FF-82A1-4850AD37A441}" type="pres">
      <dgm:prSet presAssocID="{CA28C18E-F2D8-4450-AA99-1AAFF72FE9FE}" presName="connectorText" presStyleLbl="sibTrans2D1" presStyleIdx="0" presStyleCnt="2"/>
      <dgm:spPr/>
    </dgm:pt>
    <dgm:pt modelId="{EE6A51B4-2E77-4889-9E6A-6E618172B6ED}" type="pres">
      <dgm:prSet presAssocID="{6AF17B59-60CC-4F84-9731-634D923D5FAD}" presName="node" presStyleLbl="node1" presStyleIdx="1" presStyleCnt="3">
        <dgm:presLayoutVars>
          <dgm:bulletEnabled val="1"/>
        </dgm:presLayoutVars>
      </dgm:prSet>
      <dgm:spPr/>
    </dgm:pt>
    <dgm:pt modelId="{6E1C313F-D349-4521-8DE3-1F440659D7CA}" type="pres">
      <dgm:prSet presAssocID="{63A9F0C3-4A81-4208-8FE3-197415DECBC9}" presName="sibTrans" presStyleLbl="sibTrans2D1" presStyleIdx="1" presStyleCnt="2"/>
      <dgm:spPr/>
    </dgm:pt>
    <dgm:pt modelId="{45A7949F-7228-45A1-B5EE-59F1551072AE}" type="pres">
      <dgm:prSet presAssocID="{63A9F0C3-4A81-4208-8FE3-197415DECBC9}" presName="connectorText" presStyleLbl="sibTrans2D1" presStyleIdx="1" presStyleCnt="2"/>
      <dgm:spPr/>
    </dgm:pt>
    <dgm:pt modelId="{9F7C13CB-96E3-4B68-927A-EDFF78650868}" type="pres">
      <dgm:prSet presAssocID="{13B19D05-A05E-40D0-B0F3-174638C0C7AA}" presName="node" presStyleLbl="node1" presStyleIdx="2" presStyleCnt="3">
        <dgm:presLayoutVars>
          <dgm:bulletEnabled val="1"/>
        </dgm:presLayoutVars>
      </dgm:prSet>
      <dgm:spPr/>
    </dgm:pt>
  </dgm:ptLst>
  <dgm:cxnLst>
    <dgm:cxn modelId="{019B7E01-6054-44A3-BD90-F04CD490FD41}" type="presOf" srcId="{CA28C18E-F2D8-4450-AA99-1AAFF72FE9FE}" destId="{FDC02DD3-D062-48BD-9407-D7F637599B3C}" srcOrd="0" destOrd="0" presId="urn:microsoft.com/office/officeart/2005/8/layout/process1"/>
    <dgm:cxn modelId="{687C621B-A3BC-42AF-B4EB-70C5863B9C24}" srcId="{72042D19-3223-4474-88E0-E71A24F43B68}" destId="{13B19D05-A05E-40D0-B0F3-174638C0C7AA}" srcOrd="2" destOrd="0" parTransId="{DEA0902F-A927-4CAA-AF3C-0FBF92D13A1F}" sibTransId="{059531ED-9762-4679-9514-A4640B6A8D21}"/>
    <dgm:cxn modelId="{050DEC1C-3D89-4B3A-A8E2-C5CCA049D92D}" type="presOf" srcId="{72042D19-3223-4474-88E0-E71A24F43B68}" destId="{9DBBB000-A717-4E81-AFDA-971F4307D5FB}" srcOrd="0" destOrd="0" presId="urn:microsoft.com/office/officeart/2005/8/layout/process1"/>
    <dgm:cxn modelId="{823D373B-8A02-4F6D-8B4A-1CAD384C1357}" srcId="{72042D19-3223-4474-88E0-E71A24F43B68}" destId="{6AF17B59-60CC-4F84-9731-634D923D5FAD}" srcOrd="1" destOrd="0" parTransId="{F1BAA6D7-840E-4EE0-A69F-AFFF415ADE70}" sibTransId="{63A9F0C3-4A81-4208-8FE3-197415DECBC9}"/>
    <dgm:cxn modelId="{777D1042-4D35-4ACC-A5C6-A04D517F8398}" type="presOf" srcId="{63A9F0C3-4A81-4208-8FE3-197415DECBC9}" destId="{6E1C313F-D349-4521-8DE3-1F440659D7CA}" srcOrd="0" destOrd="0" presId="urn:microsoft.com/office/officeart/2005/8/layout/process1"/>
    <dgm:cxn modelId="{532A0687-C867-43FD-9BBD-0B1B6E92F256}" srcId="{72042D19-3223-4474-88E0-E71A24F43B68}" destId="{6463F4A8-835B-4EAA-9313-E11813831ED5}" srcOrd="0" destOrd="0" parTransId="{D95CD0B9-D95D-4AFE-A582-4C55A9C8CC80}" sibTransId="{CA28C18E-F2D8-4450-AA99-1AAFF72FE9FE}"/>
    <dgm:cxn modelId="{CB5B5DAD-F86E-4779-A1A7-1131C198A8E8}" type="presOf" srcId="{6AF17B59-60CC-4F84-9731-634D923D5FAD}" destId="{EE6A51B4-2E77-4889-9E6A-6E618172B6ED}" srcOrd="0" destOrd="0" presId="urn:microsoft.com/office/officeart/2005/8/layout/process1"/>
    <dgm:cxn modelId="{743139CD-EB43-4DD7-869C-7F31A7A51F39}" type="presOf" srcId="{6463F4A8-835B-4EAA-9313-E11813831ED5}" destId="{432D8BBC-7948-4E63-967F-FD34A39F2865}" srcOrd="0" destOrd="0" presId="urn:microsoft.com/office/officeart/2005/8/layout/process1"/>
    <dgm:cxn modelId="{F9CB45EC-FE56-4E9A-BC18-131FB32BD930}" type="presOf" srcId="{13B19D05-A05E-40D0-B0F3-174638C0C7AA}" destId="{9F7C13CB-96E3-4B68-927A-EDFF78650868}" srcOrd="0" destOrd="0" presId="urn:microsoft.com/office/officeart/2005/8/layout/process1"/>
    <dgm:cxn modelId="{105A2CF2-E414-4F14-8AB7-34C0B01557F3}" type="presOf" srcId="{63A9F0C3-4A81-4208-8FE3-197415DECBC9}" destId="{45A7949F-7228-45A1-B5EE-59F1551072AE}" srcOrd="1" destOrd="0" presId="urn:microsoft.com/office/officeart/2005/8/layout/process1"/>
    <dgm:cxn modelId="{EA7999FD-5DC2-414D-9746-13EE322ADD52}" type="presOf" srcId="{CA28C18E-F2D8-4450-AA99-1AAFF72FE9FE}" destId="{C144D14C-D65E-49FF-82A1-4850AD37A441}" srcOrd="1" destOrd="0" presId="urn:microsoft.com/office/officeart/2005/8/layout/process1"/>
    <dgm:cxn modelId="{0BC08C28-9490-4604-A63A-4BA237849730}" type="presParOf" srcId="{9DBBB000-A717-4E81-AFDA-971F4307D5FB}" destId="{432D8BBC-7948-4E63-967F-FD34A39F2865}" srcOrd="0" destOrd="0" presId="urn:microsoft.com/office/officeart/2005/8/layout/process1"/>
    <dgm:cxn modelId="{6EC66B37-38F9-4031-B12F-4A7AD87DA38C}" type="presParOf" srcId="{9DBBB000-A717-4E81-AFDA-971F4307D5FB}" destId="{FDC02DD3-D062-48BD-9407-D7F637599B3C}" srcOrd="1" destOrd="0" presId="urn:microsoft.com/office/officeart/2005/8/layout/process1"/>
    <dgm:cxn modelId="{865ACEA6-AA32-4BCF-8FA9-4DC13D717516}" type="presParOf" srcId="{FDC02DD3-D062-48BD-9407-D7F637599B3C}" destId="{C144D14C-D65E-49FF-82A1-4850AD37A441}" srcOrd="0" destOrd="0" presId="urn:microsoft.com/office/officeart/2005/8/layout/process1"/>
    <dgm:cxn modelId="{BAAA0099-6C7D-418B-8C2E-1F224FA0B74B}" type="presParOf" srcId="{9DBBB000-A717-4E81-AFDA-971F4307D5FB}" destId="{EE6A51B4-2E77-4889-9E6A-6E618172B6ED}" srcOrd="2" destOrd="0" presId="urn:microsoft.com/office/officeart/2005/8/layout/process1"/>
    <dgm:cxn modelId="{609C8C2E-D92A-4ADB-A34D-8128C1A1291A}" type="presParOf" srcId="{9DBBB000-A717-4E81-AFDA-971F4307D5FB}" destId="{6E1C313F-D349-4521-8DE3-1F440659D7CA}" srcOrd="3" destOrd="0" presId="urn:microsoft.com/office/officeart/2005/8/layout/process1"/>
    <dgm:cxn modelId="{0A1F5A22-99E6-4F0B-91FC-CC37A5CA5BDC}" type="presParOf" srcId="{6E1C313F-D349-4521-8DE3-1F440659D7CA}" destId="{45A7949F-7228-45A1-B5EE-59F1551072AE}" srcOrd="0" destOrd="0" presId="urn:microsoft.com/office/officeart/2005/8/layout/process1"/>
    <dgm:cxn modelId="{F722126D-B470-49C2-AB9A-BE5027812570}" type="presParOf" srcId="{9DBBB000-A717-4E81-AFDA-971F4307D5FB}" destId="{9F7C13CB-96E3-4B68-927A-EDFF78650868}" srcOrd="4" destOrd="0" presId="urn:microsoft.com/office/officeart/2005/8/layout/process1"/>
  </dgm:cxnLst>
  <dgm:bg/>
  <dgm:whole>
    <a:ln w="38100"/>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4DB160-7BC1-4260-A213-7B7F2B0EDE89}"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D196F82C-8055-45E6-9299-86006D5B0772}">
      <dgm:prSet custT="1"/>
      <dgm:spPr/>
      <dgm:t>
        <a:bodyPr/>
        <a:lstStyle/>
        <a:p>
          <a:pPr algn="ctr" rtl="0"/>
          <a:r>
            <a:rPr lang="hu-HU" sz="1100" b="0" dirty="0">
              <a:latin typeface="Times New Roman" panose="02020603050405020304" pitchFamily="18" charset="0"/>
              <a:cs typeface="Times New Roman" panose="02020603050405020304" pitchFamily="18" charset="0"/>
            </a:rPr>
            <a:t>A versenytársak céljai</a:t>
          </a:r>
          <a:endParaRPr lang="en-US" sz="1100" b="0" dirty="0">
            <a:latin typeface="Times New Roman" panose="02020603050405020304" pitchFamily="18" charset="0"/>
            <a:cs typeface="Times New Roman" panose="02020603050405020304" pitchFamily="18" charset="0"/>
          </a:endParaRPr>
        </a:p>
      </dgm:t>
    </dgm:pt>
    <dgm:pt modelId="{CEA28B8F-F7D8-49EA-B0B7-AB9C8EC940F7}" type="parTrans" cxnId="{A303E28E-FA42-4BB0-BCD5-1DCA741F03C0}">
      <dgm:prSet/>
      <dgm:spPr/>
      <dgm:t>
        <a:bodyPr/>
        <a:lstStyle/>
        <a:p>
          <a:endParaRPr lang="en-US" sz="1100" b="0">
            <a:latin typeface="Times New Roman" panose="02020603050405020304" pitchFamily="18" charset="0"/>
            <a:cs typeface="Times New Roman" panose="02020603050405020304" pitchFamily="18" charset="0"/>
          </a:endParaRPr>
        </a:p>
      </dgm:t>
    </dgm:pt>
    <dgm:pt modelId="{CA09E525-28A9-4FAD-8B09-2A6E3466A484}" type="sibTrans" cxnId="{A303E28E-FA42-4BB0-BCD5-1DCA741F03C0}">
      <dgm:prSet/>
      <dgm:spPr/>
      <dgm:t>
        <a:bodyPr/>
        <a:lstStyle/>
        <a:p>
          <a:endParaRPr lang="en-US" sz="1100" b="0">
            <a:latin typeface="Times New Roman" panose="02020603050405020304" pitchFamily="18" charset="0"/>
            <a:cs typeface="Times New Roman" panose="02020603050405020304" pitchFamily="18" charset="0"/>
          </a:endParaRPr>
        </a:p>
      </dgm:t>
    </dgm:pt>
    <dgm:pt modelId="{081B75A0-2884-4C18-8E29-156CB89AA8A4}">
      <dgm:prSet custT="1"/>
      <dgm:spPr/>
      <dgm:t>
        <a:bodyPr/>
        <a:lstStyle/>
        <a:p>
          <a:pPr rtl="0"/>
          <a:r>
            <a:rPr lang="hu-HU" sz="1100" b="0" dirty="0">
              <a:latin typeface="Times New Roman" panose="02020603050405020304" pitchFamily="18" charset="0"/>
              <a:cs typeface="Times New Roman" panose="02020603050405020304" pitchFamily="18" charset="0"/>
            </a:rPr>
            <a:t>Nyereségesség</a:t>
          </a:r>
          <a:endParaRPr lang="en-US" sz="1100" b="0" dirty="0">
            <a:latin typeface="Times New Roman" panose="02020603050405020304" pitchFamily="18" charset="0"/>
            <a:cs typeface="Times New Roman" panose="02020603050405020304" pitchFamily="18" charset="0"/>
          </a:endParaRPr>
        </a:p>
      </dgm:t>
    </dgm:pt>
    <dgm:pt modelId="{59B274FF-9D10-4BE9-8CEF-FD549B334A02}" type="parTrans" cxnId="{511BF3DE-4E46-4AC0-B534-D37B9FD6DF20}">
      <dgm:prSet/>
      <dgm:spPr/>
      <dgm:t>
        <a:bodyPr/>
        <a:lstStyle/>
        <a:p>
          <a:endParaRPr lang="en-US" sz="1100" b="0">
            <a:latin typeface="Times New Roman" panose="02020603050405020304" pitchFamily="18" charset="0"/>
            <a:cs typeface="Times New Roman" panose="02020603050405020304" pitchFamily="18" charset="0"/>
          </a:endParaRPr>
        </a:p>
      </dgm:t>
    </dgm:pt>
    <dgm:pt modelId="{48167F4A-CDC3-45C7-873B-D90FC7C4DA79}" type="sibTrans" cxnId="{511BF3DE-4E46-4AC0-B534-D37B9FD6DF20}">
      <dgm:prSet/>
      <dgm:spPr/>
      <dgm:t>
        <a:bodyPr/>
        <a:lstStyle/>
        <a:p>
          <a:endParaRPr lang="en-US" sz="1100" b="0">
            <a:latin typeface="Times New Roman" panose="02020603050405020304" pitchFamily="18" charset="0"/>
            <a:cs typeface="Times New Roman" panose="02020603050405020304" pitchFamily="18" charset="0"/>
          </a:endParaRPr>
        </a:p>
      </dgm:t>
    </dgm:pt>
    <dgm:pt modelId="{98D978E9-2CDC-496E-9CE0-C9D1E7DE0E4B}">
      <dgm:prSet custT="1"/>
      <dgm:spPr/>
      <dgm:t>
        <a:bodyPr/>
        <a:lstStyle/>
        <a:p>
          <a:r>
            <a:rPr lang="hu-HU" sz="1100" b="0" dirty="0">
              <a:latin typeface="Times New Roman" panose="02020603050405020304" pitchFamily="18" charset="0"/>
              <a:cs typeface="Times New Roman" panose="02020603050405020304" pitchFamily="18" charset="0"/>
            </a:rPr>
            <a:t>Piaci részesedés növelése</a:t>
          </a:r>
          <a:endParaRPr lang="en-US" sz="1100" b="0" dirty="0">
            <a:latin typeface="Times New Roman" panose="02020603050405020304" pitchFamily="18" charset="0"/>
            <a:cs typeface="Times New Roman" panose="02020603050405020304" pitchFamily="18" charset="0"/>
          </a:endParaRPr>
        </a:p>
      </dgm:t>
    </dgm:pt>
    <dgm:pt modelId="{6DF8A343-30C7-43C3-B331-F795AF97B0D6}" type="parTrans" cxnId="{9E01987E-61D8-4CF7-A559-C42061921087}">
      <dgm:prSet/>
      <dgm:spPr/>
      <dgm:t>
        <a:bodyPr/>
        <a:lstStyle/>
        <a:p>
          <a:endParaRPr lang="en-US" sz="1100" b="0">
            <a:latin typeface="Times New Roman" panose="02020603050405020304" pitchFamily="18" charset="0"/>
            <a:cs typeface="Times New Roman" panose="02020603050405020304" pitchFamily="18" charset="0"/>
          </a:endParaRPr>
        </a:p>
      </dgm:t>
    </dgm:pt>
    <dgm:pt modelId="{2230C24B-FB51-4DA1-B069-FA1DACFBE3B5}" type="sibTrans" cxnId="{9E01987E-61D8-4CF7-A559-C42061921087}">
      <dgm:prSet/>
      <dgm:spPr/>
      <dgm:t>
        <a:bodyPr/>
        <a:lstStyle/>
        <a:p>
          <a:endParaRPr lang="en-US" sz="1100" b="0">
            <a:latin typeface="Times New Roman" panose="02020603050405020304" pitchFamily="18" charset="0"/>
            <a:cs typeface="Times New Roman" panose="02020603050405020304" pitchFamily="18" charset="0"/>
          </a:endParaRPr>
        </a:p>
      </dgm:t>
    </dgm:pt>
    <dgm:pt modelId="{3A49733D-83A0-4A48-82C1-42A690419BFB}">
      <dgm:prSet custT="1"/>
      <dgm:spPr/>
      <dgm:t>
        <a:bodyPr/>
        <a:lstStyle/>
        <a:p>
          <a:r>
            <a:rPr lang="en-US" sz="1100" b="0" dirty="0">
              <a:latin typeface="Times New Roman" panose="02020603050405020304" pitchFamily="18" charset="0"/>
              <a:cs typeface="Times New Roman" panose="02020603050405020304" pitchFamily="18" charset="0"/>
            </a:rPr>
            <a:t>Cash flow</a:t>
          </a:r>
        </a:p>
      </dgm:t>
    </dgm:pt>
    <dgm:pt modelId="{AD22D918-E00B-46D7-9EA0-2E31F76788CF}" type="parTrans" cxnId="{80DE5604-968D-4C8A-AEDB-43FF07991276}">
      <dgm:prSet/>
      <dgm:spPr/>
      <dgm:t>
        <a:bodyPr/>
        <a:lstStyle/>
        <a:p>
          <a:endParaRPr lang="en-US" sz="1100" b="0">
            <a:latin typeface="Times New Roman" panose="02020603050405020304" pitchFamily="18" charset="0"/>
            <a:cs typeface="Times New Roman" panose="02020603050405020304" pitchFamily="18" charset="0"/>
          </a:endParaRPr>
        </a:p>
      </dgm:t>
    </dgm:pt>
    <dgm:pt modelId="{0684C427-E97C-4589-A19B-4FE1B20AF84D}" type="sibTrans" cxnId="{80DE5604-968D-4C8A-AEDB-43FF07991276}">
      <dgm:prSet/>
      <dgm:spPr/>
      <dgm:t>
        <a:bodyPr/>
        <a:lstStyle/>
        <a:p>
          <a:endParaRPr lang="en-US" sz="1100" b="0">
            <a:latin typeface="Times New Roman" panose="02020603050405020304" pitchFamily="18" charset="0"/>
            <a:cs typeface="Times New Roman" panose="02020603050405020304" pitchFamily="18" charset="0"/>
          </a:endParaRPr>
        </a:p>
      </dgm:t>
    </dgm:pt>
    <dgm:pt modelId="{CC8C0958-587B-4E0D-83E7-3A4526B31192}">
      <dgm:prSet custT="1"/>
      <dgm:spPr/>
      <dgm:t>
        <a:bodyPr/>
        <a:lstStyle/>
        <a:p>
          <a:r>
            <a:rPr lang="hu-HU" sz="1100" b="0" dirty="0">
              <a:latin typeface="Times New Roman" panose="02020603050405020304" pitchFamily="18" charset="0"/>
              <a:cs typeface="Times New Roman" panose="02020603050405020304" pitchFamily="18" charset="0"/>
            </a:rPr>
            <a:t>Technológiai vezető szerep</a:t>
          </a:r>
          <a:endParaRPr lang="en-US" sz="1100" b="0" dirty="0">
            <a:latin typeface="Times New Roman" panose="02020603050405020304" pitchFamily="18" charset="0"/>
            <a:cs typeface="Times New Roman" panose="02020603050405020304" pitchFamily="18" charset="0"/>
          </a:endParaRPr>
        </a:p>
      </dgm:t>
    </dgm:pt>
    <dgm:pt modelId="{5839641F-022F-4589-84A9-1C2187A6FB7A}" type="parTrans" cxnId="{985655E8-73A0-4CA5-9DA8-22E262A4966E}">
      <dgm:prSet/>
      <dgm:spPr/>
      <dgm:t>
        <a:bodyPr/>
        <a:lstStyle/>
        <a:p>
          <a:endParaRPr lang="en-US" sz="1100" b="0">
            <a:latin typeface="Times New Roman" panose="02020603050405020304" pitchFamily="18" charset="0"/>
            <a:cs typeface="Times New Roman" panose="02020603050405020304" pitchFamily="18" charset="0"/>
          </a:endParaRPr>
        </a:p>
      </dgm:t>
    </dgm:pt>
    <dgm:pt modelId="{69908240-22FE-46DD-9D2D-7A2399879B88}" type="sibTrans" cxnId="{985655E8-73A0-4CA5-9DA8-22E262A4966E}">
      <dgm:prSet/>
      <dgm:spPr/>
      <dgm:t>
        <a:bodyPr/>
        <a:lstStyle/>
        <a:p>
          <a:endParaRPr lang="en-US" sz="1100" b="0">
            <a:latin typeface="Times New Roman" panose="02020603050405020304" pitchFamily="18" charset="0"/>
            <a:cs typeface="Times New Roman" panose="02020603050405020304" pitchFamily="18" charset="0"/>
          </a:endParaRPr>
        </a:p>
      </dgm:t>
    </dgm:pt>
    <dgm:pt modelId="{F2151C48-43F8-45A7-8E89-580AEFBC1F42}">
      <dgm:prSet custT="1"/>
      <dgm:spPr/>
      <dgm:t>
        <a:bodyPr/>
        <a:lstStyle/>
        <a:p>
          <a:r>
            <a:rPr lang="hu-HU" sz="1100" b="0" dirty="0">
              <a:latin typeface="Times New Roman" panose="02020603050405020304" pitchFamily="18" charset="0"/>
              <a:cs typeface="Times New Roman" panose="02020603050405020304" pitchFamily="18" charset="0"/>
            </a:rPr>
            <a:t>Szolgáltatói vezető szerep</a:t>
          </a:r>
          <a:endParaRPr lang="en-US" sz="1100" b="0" dirty="0">
            <a:latin typeface="Times New Roman" panose="02020603050405020304" pitchFamily="18" charset="0"/>
            <a:cs typeface="Times New Roman" panose="02020603050405020304" pitchFamily="18" charset="0"/>
          </a:endParaRPr>
        </a:p>
      </dgm:t>
    </dgm:pt>
    <dgm:pt modelId="{FFA03184-6F3D-4EF7-8A18-6786BD074011}" type="parTrans" cxnId="{0673B7C7-4C11-4F9E-B910-A14E9744A62F}">
      <dgm:prSet/>
      <dgm:spPr/>
      <dgm:t>
        <a:bodyPr/>
        <a:lstStyle/>
        <a:p>
          <a:endParaRPr lang="en-US" sz="1100" b="0">
            <a:latin typeface="Times New Roman" panose="02020603050405020304" pitchFamily="18" charset="0"/>
            <a:cs typeface="Times New Roman" panose="02020603050405020304" pitchFamily="18" charset="0"/>
          </a:endParaRPr>
        </a:p>
      </dgm:t>
    </dgm:pt>
    <dgm:pt modelId="{A62C22E7-DDFF-4503-A284-43685ABC5ABE}" type="sibTrans" cxnId="{0673B7C7-4C11-4F9E-B910-A14E9744A62F}">
      <dgm:prSet/>
      <dgm:spPr/>
      <dgm:t>
        <a:bodyPr/>
        <a:lstStyle/>
        <a:p>
          <a:endParaRPr lang="en-US" sz="1100" b="0">
            <a:latin typeface="Times New Roman" panose="02020603050405020304" pitchFamily="18" charset="0"/>
            <a:cs typeface="Times New Roman" panose="02020603050405020304" pitchFamily="18" charset="0"/>
          </a:endParaRPr>
        </a:p>
      </dgm:t>
    </dgm:pt>
    <dgm:pt modelId="{C75B647F-95B8-4EB3-A674-28D20CCF745D}">
      <dgm:prSet custT="1"/>
      <dgm:spPr/>
      <dgm:t>
        <a:bodyPr/>
        <a:lstStyle/>
        <a:p>
          <a:pPr rtl="0"/>
          <a:r>
            <a:rPr lang="hu-HU" sz="1100" b="0" dirty="0">
              <a:latin typeface="Times New Roman" panose="02020603050405020304" pitchFamily="18" charset="0"/>
              <a:cs typeface="Times New Roman" panose="02020603050405020304" pitchFamily="18" charset="0"/>
            </a:rPr>
            <a:t>A versenytársak lépéseinek becslése</a:t>
          </a:r>
          <a:endParaRPr lang="en-US" sz="1100" b="0" dirty="0">
            <a:latin typeface="Times New Roman" panose="02020603050405020304" pitchFamily="18" charset="0"/>
            <a:cs typeface="Times New Roman" panose="02020603050405020304" pitchFamily="18" charset="0"/>
          </a:endParaRPr>
        </a:p>
      </dgm:t>
    </dgm:pt>
    <dgm:pt modelId="{B5BC3127-EE08-437E-BB23-9099FF43B053}" type="sibTrans" cxnId="{61C276B5-3FAF-4B39-AA55-5B2B6BE9575A}">
      <dgm:prSet/>
      <dgm:spPr/>
      <dgm:t>
        <a:bodyPr/>
        <a:lstStyle/>
        <a:p>
          <a:endParaRPr lang="hu-HU" sz="1100" b="0">
            <a:latin typeface="Times New Roman" panose="02020603050405020304" pitchFamily="18" charset="0"/>
            <a:cs typeface="Times New Roman" panose="02020603050405020304" pitchFamily="18" charset="0"/>
          </a:endParaRPr>
        </a:p>
      </dgm:t>
    </dgm:pt>
    <dgm:pt modelId="{850477B5-BE40-4462-A3CE-D16029892206}" type="parTrans" cxnId="{61C276B5-3FAF-4B39-AA55-5B2B6BE9575A}">
      <dgm:prSet/>
      <dgm:spPr/>
      <dgm:t>
        <a:bodyPr/>
        <a:lstStyle/>
        <a:p>
          <a:endParaRPr lang="hu-HU" sz="1100" b="0">
            <a:latin typeface="Times New Roman" panose="02020603050405020304" pitchFamily="18" charset="0"/>
            <a:cs typeface="Times New Roman" panose="02020603050405020304" pitchFamily="18" charset="0"/>
          </a:endParaRPr>
        </a:p>
      </dgm:t>
    </dgm:pt>
    <dgm:pt modelId="{724EC5F7-9E76-4379-9A78-1CDF30E2FAF7}">
      <dgm:prSet custT="1"/>
      <dgm:spPr/>
      <dgm:t>
        <a:bodyPr/>
        <a:lstStyle/>
        <a:p>
          <a:pPr rtl="0"/>
          <a:r>
            <a:rPr lang="en-US" sz="1100" b="0" dirty="0">
              <a:latin typeface="Times New Roman" panose="02020603050405020304" pitchFamily="18" charset="0"/>
              <a:cs typeface="Times New Roman" panose="02020603050405020304" pitchFamily="18" charset="0"/>
            </a:rPr>
            <a:t>Benchmarking</a:t>
          </a:r>
        </a:p>
      </dgm:t>
    </dgm:pt>
    <dgm:pt modelId="{F4662D40-1E6B-412A-9B68-4F9FE14A14FE}">
      <dgm:prSet custT="1"/>
      <dgm:spPr/>
      <dgm:t>
        <a:bodyPr/>
        <a:lstStyle/>
        <a:p>
          <a:pPr rtl="0"/>
          <a:r>
            <a:rPr lang="hu-HU" sz="1100" b="0" dirty="0">
              <a:latin typeface="Times New Roman" panose="02020603050405020304" pitchFamily="18" charset="0"/>
              <a:cs typeface="Times New Roman" panose="02020603050405020304" pitchFamily="18" charset="0"/>
            </a:rPr>
            <a:t>Mit csinálnak a versenytársak?</a:t>
          </a:r>
          <a:endParaRPr lang="en-US" sz="1100" b="0" dirty="0">
            <a:latin typeface="Times New Roman" panose="02020603050405020304" pitchFamily="18" charset="0"/>
            <a:cs typeface="Times New Roman" panose="02020603050405020304" pitchFamily="18" charset="0"/>
          </a:endParaRPr>
        </a:p>
      </dgm:t>
    </dgm:pt>
    <dgm:pt modelId="{90306BFE-8499-4ECB-B201-F394E3292062}">
      <dgm:prSet custT="1"/>
      <dgm:spPr/>
      <dgm:t>
        <a:bodyPr/>
        <a:lstStyle/>
        <a:p>
          <a:pPr algn="ctr" rtl="0"/>
          <a:r>
            <a:rPr lang="hu-HU" sz="1100" b="0" dirty="0">
              <a:latin typeface="Times New Roman" panose="02020603050405020304" pitchFamily="18" charset="0"/>
              <a:cs typeface="Times New Roman" panose="02020603050405020304" pitchFamily="18" charset="0"/>
            </a:rPr>
            <a:t>A versenytárs stratégiája</a:t>
          </a:r>
          <a:endParaRPr lang="en-US" sz="1100" b="0" dirty="0">
            <a:latin typeface="Times New Roman" panose="02020603050405020304" pitchFamily="18" charset="0"/>
            <a:cs typeface="Times New Roman" panose="02020603050405020304" pitchFamily="18" charset="0"/>
          </a:endParaRPr>
        </a:p>
      </dgm:t>
    </dgm:pt>
    <dgm:pt modelId="{0F0A0F9B-A45A-43E7-BEEA-C333E388D15D}" type="sibTrans" cxnId="{FF4EE471-6ECB-43C6-8D02-1595C0EBCC8F}">
      <dgm:prSet/>
      <dgm:spPr/>
      <dgm:t>
        <a:bodyPr/>
        <a:lstStyle/>
        <a:p>
          <a:endParaRPr lang="hu-HU" sz="1100" b="0">
            <a:latin typeface="Times New Roman" panose="02020603050405020304" pitchFamily="18" charset="0"/>
            <a:cs typeface="Times New Roman" panose="02020603050405020304" pitchFamily="18" charset="0"/>
          </a:endParaRPr>
        </a:p>
      </dgm:t>
    </dgm:pt>
    <dgm:pt modelId="{B120645D-46FC-4995-BFB9-8E7CC2CF1D47}" type="parTrans" cxnId="{FF4EE471-6ECB-43C6-8D02-1595C0EBCC8F}">
      <dgm:prSet/>
      <dgm:spPr/>
      <dgm:t>
        <a:bodyPr/>
        <a:lstStyle/>
        <a:p>
          <a:endParaRPr lang="hu-HU" sz="1100" b="0">
            <a:latin typeface="Times New Roman" panose="02020603050405020304" pitchFamily="18" charset="0"/>
            <a:cs typeface="Times New Roman" panose="02020603050405020304" pitchFamily="18" charset="0"/>
          </a:endParaRPr>
        </a:p>
      </dgm:t>
    </dgm:pt>
    <dgm:pt modelId="{AD91A4AC-7877-4DD6-9802-231F9ED2F898}" type="sibTrans" cxnId="{C1DF282E-8D58-4ED4-8813-0B98C6325DD9}">
      <dgm:prSet/>
      <dgm:spPr/>
      <dgm:t>
        <a:bodyPr/>
        <a:lstStyle/>
        <a:p>
          <a:endParaRPr lang="hu-HU" sz="1100" b="0">
            <a:latin typeface="Times New Roman" panose="02020603050405020304" pitchFamily="18" charset="0"/>
            <a:cs typeface="Times New Roman" panose="02020603050405020304" pitchFamily="18" charset="0"/>
          </a:endParaRPr>
        </a:p>
      </dgm:t>
    </dgm:pt>
    <dgm:pt modelId="{1DBBA472-5803-4484-AC7B-AF1294335B88}" type="parTrans" cxnId="{C1DF282E-8D58-4ED4-8813-0B98C6325DD9}">
      <dgm:prSet/>
      <dgm:spPr/>
      <dgm:t>
        <a:bodyPr/>
        <a:lstStyle/>
        <a:p>
          <a:endParaRPr lang="hu-HU" sz="1100" b="0">
            <a:latin typeface="Times New Roman" panose="02020603050405020304" pitchFamily="18" charset="0"/>
            <a:cs typeface="Times New Roman" panose="02020603050405020304" pitchFamily="18" charset="0"/>
          </a:endParaRPr>
        </a:p>
      </dgm:t>
    </dgm:pt>
    <dgm:pt modelId="{F383FE65-D209-457B-8648-A9F1DEDFECF4}" type="sibTrans" cxnId="{7C86C3BC-BD77-407D-BCB3-3E8C78C2D018}">
      <dgm:prSet/>
      <dgm:spPr/>
      <dgm:t>
        <a:bodyPr/>
        <a:lstStyle/>
        <a:p>
          <a:endParaRPr lang="hu-HU" sz="1100" b="0">
            <a:latin typeface="Times New Roman" panose="02020603050405020304" pitchFamily="18" charset="0"/>
            <a:cs typeface="Times New Roman" panose="02020603050405020304" pitchFamily="18" charset="0"/>
          </a:endParaRPr>
        </a:p>
      </dgm:t>
    </dgm:pt>
    <dgm:pt modelId="{04099679-F4F1-455A-B75D-2FBEE389812B}" type="parTrans" cxnId="{7C86C3BC-BD77-407D-BCB3-3E8C78C2D018}">
      <dgm:prSet/>
      <dgm:spPr/>
      <dgm:t>
        <a:bodyPr/>
        <a:lstStyle/>
        <a:p>
          <a:endParaRPr lang="hu-HU" sz="1100" b="0">
            <a:latin typeface="Times New Roman" panose="02020603050405020304" pitchFamily="18" charset="0"/>
            <a:cs typeface="Times New Roman" panose="02020603050405020304" pitchFamily="18" charset="0"/>
          </a:endParaRPr>
        </a:p>
      </dgm:t>
    </dgm:pt>
    <dgm:pt modelId="{65C5BE50-6528-446C-8E15-57070649E1D6}">
      <dgm:prSet custT="1"/>
      <dgm:spPr/>
      <dgm:t>
        <a:bodyPr/>
        <a:lstStyle/>
        <a:p>
          <a:pPr rtl="0"/>
          <a:r>
            <a:rPr lang="hu-HU" sz="1100" b="0" dirty="0">
              <a:solidFill>
                <a:schemeClr val="tx1"/>
              </a:solidFill>
              <a:latin typeface="Times New Roman" panose="02020603050405020304" pitchFamily="18" charset="0"/>
              <a:cs typeface="Times New Roman" panose="02020603050405020304" pitchFamily="18" charset="0"/>
            </a:rPr>
            <a:t>Mit fognak tenni a versenytársak? </a:t>
          </a:r>
          <a:endParaRPr lang="en-US" sz="1100" b="0" dirty="0">
            <a:latin typeface="Times New Roman" panose="02020603050405020304" pitchFamily="18" charset="0"/>
            <a:cs typeface="Times New Roman" panose="02020603050405020304" pitchFamily="18" charset="0"/>
          </a:endParaRPr>
        </a:p>
      </dgm:t>
    </dgm:pt>
    <dgm:pt modelId="{07A5EE30-76C5-4189-95DF-3B2D4B937959}" type="sibTrans" cxnId="{BB662E7C-6B53-47D9-86E6-0117EAF07340}">
      <dgm:prSet/>
      <dgm:spPr/>
      <dgm:t>
        <a:bodyPr/>
        <a:lstStyle/>
        <a:p>
          <a:endParaRPr lang="hu-HU" sz="1100" b="0">
            <a:latin typeface="Times New Roman" panose="02020603050405020304" pitchFamily="18" charset="0"/>
            <a:cs typeface="Times New Roman" panose="02020603050405020304" pitchFamily="18" charset="0"/>
          </a:endParaRPr>
        </a:p>
      </dgm:t>
    </dgm:pt>
    <dgm:pt modelId="{FCE92F57-AA39-45B9-868D-2B62F22410B4}" type="parTrans" cxnId="{BB662E7C-6B53-47D9-86E6-0117EAF07340}">
      <dgm:prSet/>
      <dgm:spPr/>
      <dgm:t>
        <a:bodyPr/>
        <a:lstStyle/>
        <a:p>
          <a:endParaRPr lang="hu-HU" sz="1100" b="0">
            <a:latin typeface="Times New Roman" panose="02020603050405020304" pitchFamily="18" charset="0"/>
            <a:cs typeface="Times New Roman" panose="02020603050405020304" pitchFamily="18" charset="0"/>
          </a:endParaRPr>
        </a:p>
      </dgm:t>
    </dgm:pt>
    <dgm:pt modelId="{37FB59FD-B70E-4289-9D1D-B0E343DA0219}">
      <dgm:prSet custT="1"/>
      <dgm:spPr/>
      <dgm:t>
        <a:bodyPr/>
        <a:lstStyle/>
        <a:p>
          <a:pPr rtl="0"/>
          <a:r>
            <a:rPr lang="hu-HU" sz="1100" b="0" dirty="0">
              <a:latin typeface="Times New Roman" panose="02020603050405020304" pitchFamily="18" charset="0"/>
              <a:cs typeface="Times New Roman" panose="02020603050405020304" pitchFamily="18" charset="0"/>
            </a:rPr>
            <a:t>A stratégiai csoportok nagyobb versenyt jelentenek</a:t>
          </a:r>
          <a:endParaRPr lang="en-US" sz="1100" b="0" dirty="0">
            <a:latin typeface="Times New Roman" panose="02020603050405020304" pitchFamily="18" charset="0"/>
            <a:cs typeface="Times New Roman" panose="02020603050405020304" pitchFamily="18" charset="0"/>
          </a:endParaRPr>
        </a:p>
      </dgm:t>
    </dgm:pt>
    <dgm:pt modelId="{875D12A1-5851-4237-B0BB-0F21E532643B}" type="parTrans" cxnId="{BAC850EF-12E9-4A34-BF02-15AF37C90B95}">
      <dgm:prSet/>
      <dgm:spPr/>
      <dgm:t>
        <a:bodyPr/>
        <a:lstStyle/>
        <a:p>
          <a:endParaRPr lang="hu-HU" sz="1100" b="0">
            <a:latin typeface="Times New Roman" panose="02020603050405020304" pitchFamily="18" charset="0"/>
            <a:cs typeface="Times New Roman" panose="02020603050405020304" pitchFamily="18" charset="0"/>
          </a:endParaRPr>
        </a:p>
      </dgm:t>
    </dgm:pt>
    <dgm:pt modelId="{948E6A71-34E5-4E34-A0C2-EF0DA857F9E3}" type="sibTrans" cxnId="{BAC850EF-12E9-4A34-BF02-15AF37C90B95}">
      <dgm:prSet/>
      <dgm:spPr/>
      <dgm:t>
        <a:bodyPr/>
        <a:lstStyle/>
        <a:p>
          <a:endParaRPr lang="hu-HU" sz="1100" b="0">
            <a:latin typeface="Times New Roman" panose="02020603050405020304" pitchFamily="18" charset="0"/>
            <a:cs typeface="Times New Roman" panose="02020603050405020304" pitchFamily="18" charset="0"/>
          </a:endParaRPr>
        </a:p>
      </dgm:t>
    </dgm:pt>
    <dgm:pt modelId="{90A390EF-31D3-4C50-9357-B82485F39166}">
      <dgm:prSet custT="1"/>
      <dgm:spPr/>
      <dgm:t>
        <a:bodyPr/>
        <a:lstStyle/>
        <a:p>
          <a:pPr rtl="0"/>
          <a:r>
            <a:rPr lang="hu-HU" sz="1100" b="0" dirty="0">
              <a:latin typeface="Times New Roman" panose="02020603050405020304" pitchFamily="18" charset="0"/>
              <a:cs typeface="Times New Roman" panose="02020603050405020304" pitchFamily="18" charset="0"/>
            </a:rPr>
            <a:t>A versenytársak erősségei/ gyengeségei</a:t>
          </a:r>
        </a:p>
      </dgm:t>
    </dgm:pt>
    <dgm:pt modelId="{E82BA727-ED75-42DD-979D-75945300BA9F}" type="parTrans" cxnId="{E37B138B-C71F-4F6B-8C4E-021612BAC26E}">
      <dgm:prSet/>
      <dgm:spPr/>
      <dgm:t>
        <a:bodyPr/>
        <a:lstStyle/>
        <a:p>
          <a:endParaRPr lang="hu-HU" sz="1100" b="0">
            <a:latin typeface="Times New Roman" panose="02020603050405020304" pitchFamily="18" charset="0"/>
            <a:cs typeface="Times New Roman" panose="02020603050405020304" pitchFamily="18" charset="0"/>
          </a:endParaRPr>
        </a:p>
      </dgm:t>
    </dgm:pt>
    <dgm:pt modelId="{FF17773C-8B87-4ACE-9321-8F6B5676675B}" type="sibTrans" cxnId="{E37B138B-C71F-4F6B-8C4E-021612BAC26E}">
      <dgm:prSet/>
      <dgm:spPr/>
      <dgm:t>
        <a:bodyPr/>
        <a:lstStyle/>
        <a:p>
          <a:endParaRPr lang="hu-HU" sz="1100" b="0">
            <a:latin typeface="Times New Roman" panose="02020603050405020304" pitchFamily="18" charset="0"/>
            <a:cs typeface="Times New Roman" panose="02020603050405020304" pitchFamily="18" charset="0"/>
          </a:endParaRPr>
        </a:p>
      </dgm:t>
    </dgm:pt>
    <dgm:pt modelId="{2AD37DA9-A0C8-464C-A575-D17C9D236BC4}" type="pres">
      <dgm:prSet presAssocID="{984DB160-7BC1-4260-A213-7B7F2B0EDE89}" presName="Name0" presStyleCnt="0">
        <dgm:presLayoutVars>
          <dgm:dir/>
          <dgm:animLvl val="lvl"/>
          <dgm:resizeHandles val="exact"/>
        </dgm:presLayoutVars>
      </dgm:prSet>
      <dgm:spPr/>
    </dgm:pt>
    <dgm:pt modelId="{02B46652-E828-47B9-AA92-4B28AF8C1692}" type="pres">
      <dgm:prSet presAssocID="{D196F82C-8055-45E6-9299-86006D5B0772}" presName="composite" presStyleCnt="0"/>
      <dgm:spPr/>
    </dgm:pt>
    <dgm:pt modelId="{EDEF3024-FD1F-4F93-98C3-080C8A0FC819}" type="pres">
      <dgm:prSet presAssocID="{D196F82C-8055-45E6-9299-86006D5B0772}" presName="parTx" presStyleLbl="alignNode1" presStyleIdx="0" presStyleCnt="4">
        <dgm:presLayoutVars>
          <dgm:chMax val="0"/>
          <dgm:chPref val="0"/>
          <dgm:bulletEnabled val="1"/>
        </dgm:presLayoutVars>
      </dgm:prSet>
      <dgm:spPr/>
    </dgm:pt>
    <dgm:pt modelId="{F41FD565-0DD5-41FA-BF8D-078A18C8DF09}" type="pres">
      <dgm:prSet presAssocID="{D196F82C-8055-45E6-9299-86006D5B0772}" presName="desTx" presStyleLbl="alignAccFollowNode1" presStyleIdx="0" presStyleCnt="4">
        <dgm:presLayoutVars>
          <dgm:bulletEnabled val="1"/>
        </dgm:presLayoutVars>
      </dgm:prSet>
      <dgm:spPr/>
    </dgm:pt>
    <dgm:pt modelId="{5CB950B7-F30E-42E5-8603-ABF8D5B97691}" type="pres">
      <dgm:prSet presAssocID="{CA09E525-28A9-4FAD-8B09-2A6E3466A484}" presName="space" presStyleCnt="0"/>
      <dgm:spPr/>
    </dgm:pt>
    <dgm:pt modelId="{4A3A8FCB-2B6E-4593-8065-44BE25D3D4AE}" type="pres">
      <dgm:prSet presAssocID="{90306BFE-8499-4ECB-B201-F394E3292062}" presName="composite" presStyleCnt="0"/>
      <dgm:spPr/>
    </dgm:pt>
    <dgm:pt modelId="{3B607B61-FF07-4CA5-A724-5D16BF211C99}" type="pres">
      <dgm:prSet presAssocID="{90306BFE-8499-4ECB-B201-F394E3292062}" presName="parTx" presStyleLbl="alignNode1" presStyleIdx="1" presStyleCnt="4">
        <dgm:presLayoutVars>
          <dgm:chMax val="0"/>
          <dgm:chPref val="0"/>
          <dgm:bulletEnabled val="1"/>
        </dgm:presLayoutVars>
      </dgm:prSet>
      <dgm:spPr/>
    </dgm:pt>
    <dgm:pt modelId="{70E0ACF9-DBDC-4E93-8FFF-AB5C80E4CA3F}" type="pres">
      <dgm:prSet presAssocID="{90306BFE-8499-4ECB-B201-F394E3292062}" presName="desTx" presStyleLbl="alignAccFollowNode1" presStyleIdx="1" presStyleCnt="4">
        <dgm:presLayoutVars>
          <dgm:bulletEnabled val="1"/>
        </dgm:presLayoutVars>
      </dgm:prSet>
      <dgm:spPr/>
    </dgm:pt>
    <dgm:pt modelId="{672C71E0-9A3F-43F8-9B45-262AEAAECDE0}" type="pres">
      <dgm:prSet presAssocID="{0F0A0F9B-A45A-43E7-BEEA-C333E388D15D}" presName="space" presStyleCnt="0"/>
      <dgm:spPr/>
    </dgm:pt>
    <dgm:pt modelId="{2157F31D-C2D5-4379-ACC0-4AA0F89C9198}" type="pres">
      <dgm:prSet presAssocID="{90A390EF-31D3-4C50-9357-B82485F39166}" presName="composite" presStyleCnt="0"/>
      <dgm:spPr/>
    </dgm:pt>
    <dgm:pt modelId="{B9AEF5F4-AD6A-4740-823C-B789CDE58D5B}" type="pres">
      <dgm:prSet presAssocID="{90A390EF-31D3-4C50-9357-B82485F39166}" presName="parTx" presStyleLbl="alignNode1" presStyleIdx="2" presStyleCnt="4">
        <dgm:presLayoutVars>
          <dgm:chMax val="0"/>
          <dgm:chPref val="0"/>
          <dgm:bulletEnabled val="1"/>
        </dgm:presLayoutVars>
      </dgm:prSet>
      <dgm:spPr/>
    </dgm:pt>
    <dgm:pt modelId="{CEE7849F-A0B7-4559-9CDF-74326CAAC143}" type="pres">
      <dgm:prSet presAssocID="{90A390EF-31D3-4C50-9357-B82485F39166}" presName="desTx" presStyleLbl="alignAccFollowNode1" presStyleIdx="2" presStyleCnt="4">
        <dgm:presLayoutVars>
          <dgm:bulletEnabled val="1"/>
        </dgm:presLayoutVars>
      </dgm:prSet>
      <dgm:spPr/>
    </dgm:pt>
    <dgm:pt modelId="{160E7A6E-C7BC-497A-AA9D-67D67E9A363E}" type="pres">
      <dgm:prSet presAssocID="{FF17773C-8B87-4ACE-9321-8F6B5676675B}" presName="space" presStyleCnt="0"/>
      <dgm:spPr/>
    </dgm:pt>
    <dgm:pt modelId="{067CF33C-C0B1-4497-A877-9E74A983F17B}" type="pres">
      <dgm:prSet presAssocID="{C75B647F-95B8-4EB3-A674-28D20CCF745D}" presName="composite" presStyleCnt="0"/>
      <dgm:spPr/>
    </dgm:pt>
    <dgm:pt modelId="{2FF02E46-2E54-4794-AF26-032CD8BA6FE9}" type="pres">
      <dgm:prSet presAssocID="{C75B647F-95B8-4EB3-A674-28D20CCF745D}" presName="parTx" presStyleLbl="alignNode1" presStyleIdx="3" presStyleCnt="4">
        <dgm:presLayoutVars>
          <dgm:chMax val="0"/>
          <dgm:chPref val="0"/>
          <dgm:bulletEnabled val="1"/>
        </dgm:presLayoutVars>
      </dgm:prSet>
      <dgm:spPr/>
    </dgm:pt>
    <dgm:pt modelId="{D6FAD473-26A9-4513-8434-D85D4533D04A}" type="pres">
      <dgm:prSet presAssocID="{C75B647F-95B8-4EB3-A674-28D20CCF745D}" presName="desTx" presStyleLbl="alignAccFollowNode1" presStyleIdx="3" presStyleCnt="4">
        <dgm:presLayoutVars>
          <dgm:bulletEnabled val="1"/>
        </dgm:presLayoutVars>
      </dgm:prSet>
      <dgm:spPr/>
    </dgm:pt>
  </dgm:ptLst>
  <dgm:cxnLst>
    <dgm:cxn modelId="{53B29902-5186-4186-839A-273663CBB7BC}" type="presOf" srcId="{F2151C48-43F8-45A7-8E89-580AEFBC1F42}" destId="{F41FD565-0DD5-41FA-BF8D-078A18C8DF09}" srcOrd="0" destOrd="4" presId="urn:microsoft.com/office/officeart/2005/8/layout/hList1"/>
    <dgm:cxn modelId="{FED63C03-708B-4E71-AD3C-F085E24651EE}" type="presOf" srcId="{65C5BE50-6528-446C-8E15-57070649E1D6}" destId="{D6FAD473-26A9-4513-8434-D85D4533D04A}" srcOrd="0" destOrd="0" presId="urn:microsoft.com/office/officeart/2005/8/layout/hList1"/>
    <dgm:cxn modelId="{80DE5604-968D-4C8A-AEDB-43FF07991276}" srcId="{D196F82C-8055-45E6-9299-86006D5B0772}" destId="{3A49733D-83A0-4A48-82C1-42A690419BFB}" srcOrd="2" destOrd="0" parTransId="{AD22D918-E00B-46D7-9EA0-2E31F76788CF}" sibTransId="{0684C427-E97C-4589-A19B-4FE1B20AF84D}"/>
    <dgm:cxn modelId="{649D8708-41A7-4891-AE6F-B38FF9A418D5}" type="presOf" srcId="{98D978E9-2CDC-496E-9CE0-C9D1E7DE0E4B}" destId="{F41FD565-0DD5-41FA-BF8D-078A18C8DF09}" srcOrd="0" destOrd="1" presId="urn:microsoft.com/office/officeart/2005/8/layout/hList1"/>
    <dgm:cxn modelId="{2D77480D-AC36-437D-8273-81FBE439F3CE}" type="presOf" srcId="{F4662D40-1E6B-412A-9B68-4F9FE14A14FE}" destId="{CEE7849F-A0B7-4559-9CDF-74326CAAC143}" srcOrd="0" destOrd="0" presId="urn:microsoft.com/office/officeart/2005/8/layout/hList1"/>
    <dgm:cxn modelId="{2CC14324-0422-4E66-9848-B1F10DA1F5F0}" type="presOf" srcId="{724EC5F7-9E76-4379-9A78-1CDF30E2FAF7}" destId="{CEE7849F-A0B7-4559-9CDF-74326CAAC143}" srcOrd="0" destOrd="1" presId="urn:microsoft.com/office/officeart/2005/8/layout/hList1"/>
    <dgm:cxn modelId="{1391EA2A-015F-4DC3-A247-C38B06331E2B}" type="presOf" srcId="{37FB59FD-B70E-4289-9D1D-B0E343DA0219}" destId="{70E0ACF9-DBDC-4E93-8FFF-AB5C80E4CA3F}" srcOrd="0" destOrd="0" presId="urn:microsoft.com/office/officeart/2005/8/layout/hList1"/>
    <dgm:cxn modelId="{C1DF282E-8D58-4ED4-8813-0B98C6325DD9}" srcId="{90A390EF-31D3-4C50-9357-B82485F39166}" destId="{724EC5F7-9E76-4379-9A78-1CDF30E2FAF7}" srcOrd="1" destOrd="0" parTransId="{1DBBA472-5803-4484-AC7B-AF1294335B88}" sibTransId="{AD91A4AC-7877-4DD6-9802-231F9ED2F898}"/>
    <dgm:cxn modelId="{6338DB5C-24F9-4511-AAAC-353EFCED4D24}" type="presOf" srcId="{3A49733D-83A0-4A48-82C1-42A690419BFB}" destId="{F41FD565-0DD5-41FA-BF8D-078A18C8DF09}" srcOrd="0" destOrd="2" presId="urn:microsoft.com/office/officeart/2005/8/layout/hList1"/>
    <dgm:cxn modelId="{14E75261-D59B-445A-A242-C3FEBE1F41BD}" type="presOf" srcId="{081B75A0-2884-4C18-8E29-156CB89AA8A4}" destId="{F41FD565-0DD5-41FA-BF8D-078A18C8DF09}" srcOrd="0" destOrd="0" presId="urn:microsoft.com/office/officeart/2005/8/layout/hList1"/>
    <dgm:cxn modelId="{109EE641-DEB6-4464-BEF4-69B61EE6F01F}" type="presOf" srcId="{90306BFE-8499-4ECB-B201-F394E3292062}" destId="{3B607B61-FF07-4CA5-A724-5D16BF211C99}" srcOrd="0" destOrd="0" presId="urn:microsoft.com/office/officeart/2005/8/layout/hList1"/>
    <dgm:cxn modelId="{FF4EE471-6ECB-43C6-8D02-1595C0EBCC8F}" srcId="{984DB160-7BC1-4260-A213-7B7F2B0EDE89}" destId="{90306BFE-8499-4ECB-B201-F394E3292062}" srcOrd="1" destOrd="0" parTransId="{B120645D-46FC-4995-BFB9-8E7CC2CF1D47}" sibTransId="{0F0A0F9B-A45A-43E7-BEEA-C333E388D15D}"/>
    <dgm:cxn modelId="{AF607974-5B4B-447B-AA69-0CCA12566AC3}" type="presOf" srcId="{D196F82C-8055-45E6-9299-86006D5B0772}" destId="{EDEF3024-FD1F-4F93-98C3-080C8A0FC819}" srcOrd="0" destOrd="0" presId="urn:microsoft.com/office/officeart/2005/8/layout/hList1"/>
    <dgm:cxn modelId="{BB662E7C-6B53-47D9-86E6-0117EAF07340}" srcId="{C75B647F-95B8-4EB3-A674-28D20CCF745D}" destId="{65C5BE50-6528-446C-8E15-57070649E1D6}" srcOrd="0" destOrd="0" parTransId="{FCE92F57-AA39-45B9-868D-2B62F22410B4}" sibTransId="{07A5EE30-76C5-4189-95DF-3B2D4B937959}"/>
    <dgm:cxn modelId="{47C69B7C-3D8B-4C5F-947D-A047F433D299}" type="presOf" srcId="{C75B647F-95B8-4EB3-A674-28D20CCF745D}" destId="{2FF02E46-2E54-4794-AF26-032CD8BA6FE9}" srcOrd="0" destOrd="0" presId="urn:microsoft.com/office/officeart/2005/8/layout/hList1"/>
    <dgm:cxn modelId="{9E01987E-61D8-4CF7-A559-C42061921087}" srcId="{D196F82C-8055-45E6-9299-86006D5B0772}" destId="{98D978E9-2CDC-496E-9CE0-C9D1E7DE0E4B}" srcOrd="1" destOrd="0" parTransId="{6DF8A343-30C7-43C3-B331-F795AF97B0D6}" sibTransId="{2230C24B-FB51-4DA1-B069-FA1DACFBE3B5}"/>
    <dgm:cxn modelId="{6AF01E83-4455-42E5-BD0A-CCB01B72BAC6}" type="presOf" srcId="{CC8C0958-587B-4E0D-83E7-3A4526B31192}" destId="{F41FD565-0DD5-41FA-BF8D-078A18C8DF09}" srcOrd="0" destOrd="3" presId="urn:microsoft.com/office/officeart/2005/8/layout/hList1"/>
    <dgm:cxn modelId="{E37B138B-C71F-4F6B-8C4E-021612BAC26E}" srcId="{984DB160-7BC1-4260-A213-7B7F2B0EDE89}" destId="{90A390EF-31D3-4C50-9357-B82485F39166}" srcOrd="2" destOrd="0" parTransId="{E82BA727-ED75-42DD-979D-75945300BA9F}" sibTransId="{FF17773C-8B87-4ACE-9321-8F6B5676675B}"/>
    <dgm:cxn modelId="{A303E28E-FA42-4BB0-BCD5-1DCA741F03C0}" srcId="{984DB160-7BC1-4260-A213-7B7F2B0EDE89}" destId="{D196F82C-8055-45E6-9299-86006D5B0772}" srcOrd="0" destOrd="0" parTransId="{CEA28B8F-F7D8-49EA-B0B7-AB9C8EC940F7}" sibTransId="{CA09E525-28A9-4FAD-8B09-2A6E3466A484}"/>
    <dgm:cxn modelId="{A6943B90-DEF8-40C8-BA91-5706043D3292}" type="presOf" srcId="{90A390EF-31D3-4C50-9357-B82485F39166}" destId="{B9AEF5F4-AD6A-4740-823C-B789CDE58D5B}" srcOrd="0" destOrd="0" presId="urn:microsoft.com/office/officeart/2005/8/layout/hList1"/>
    <dgm:cxn modelId="{61C276B5-3FAF-4B39-AA55-5B2B6BE9575A}" srcId="{984DB160-7BC1-4260-A213-7B7F2B0EDE89}" destId="{C75B647F-95B8-4EB3-A674-28D20CCF745D}" srcOrd="3" destOrd="0" parTransId="{850477B5-BE40-4462-A3CE-D16029892206}" sibTransId="{B5BC3127-EE08-437E-BB23-9099FF43B053}"/>
    <dgm:cxn modelId="{7C86C3BC-BD77-407D-BCB3-3E8C78C2D018}" srcId="{90A390EF-31D3-4C50-9357-B82485F39166}" destId="{F4662D40-1E6B-412A-9B68-4F9FE14A14FE}" srcOrd="0" destOrd="0" parTransId="{04099679-F4F1-455A-B75D-2FBEE389812B}" sibTransId="{F383FE65-D209-457B-8648-A9F1DEDFECF4}"/>
    <dgm:cxn modelId="{0673B7C7-4C11-4F9E-B910-A14E9744A62F}" srcId="{D196F82C-8055-45E6-9299-86006D5B0772}" destId="{F2151C48-43F8-45A7-8E89-580AEFBC1F42}" srcOrd="4" destOrd="0" parTransId="{FFA03184-6F3D-4EF7-8A18-6786BD074011}" sibTransId="{A62C22E7-DDFF-4503-A284-43685ABC5ABE}"/>
    <dgm:cxn modelId="{511BF3DE-4E46-4AC0-B534-D37B9FD6DF20}" srcId="{D196F82C-8055-45E6-9299-86006D5B0772}" destId="{081B75A0-2884-4C18-8E29-156CB89AA8A4}" srcOrd="0" destOrd="0" parTransId="{59B274FF-9D10-4BE9-8CEF-FD549B334A02}" sibTransId="{48167F4A-CDC3-45C7-873B-D90FC7C4DA79}"/>
    <dgm:cxn modelId="{985655E8-73A0-4CA5-9DA8-22E262A4966E}" srcId="{D196F82C-8055-45E6-9299-86006D5B0772}" destId="{CC8C0958-587B-4E0D-83E7-3A4526B31192}" srcOrd="3" destOrd="0" parTransId="{5839641F-022F-4589-84A9-1C2187A6FB7A}" sibTransId="{69908240-22FE-46DD-9D2D-7A2399879B88}"/>
    <dgm:cxn modelId="{BAC850EF-12E9-4A34-BF02-15AF37C90B95}" srcId="{90306BFE-8499-4ECB-B201-F394E3292062}" destId="{37FB59FD-B70E-4289-9D1D-B0E343DA0219}" srcOrd="0" destOrd="0" parTransId="{875D12A1-5851-4237-B0BB-0F21E532643B}" sibTransId="{948E6A71-34E5-4E34-A0C2-EF0DA857F9E3}"/>
    <dgm:cxn modelId="{1F2B3AFA-5FA0-455A-8A45-A4E93604FACE}" type="presOf" srcId="{984DB160-7BC1-4260-A213-7B7F2B0EDE89}" destId="{2AD37DA9-A0C8-464C-A575-D17C9D236BC4}" srcOrd="0" destOrd="0" presId="urn:microsoft.com/office/officeart/2005/8/layout/hList1"/>
    <dgm:cxn modelId="{BFDDAF27-B76D-4AA7-B8DB-019ECC45C58D}" type="presParOf" srcId="{2AD37DA9-A0C8-464C-A575-D17C9D236BC4}" destId="{02B46652-E828-47B9-AA92-4B28AF8C1692}" srcOrd="0" destOrd="0" presId="urn:microsoft.com/office/officeart/2005/8/layout/hList1"/>
    <dgm:cxn modelId="{244A168E-5010-47AD-8827-C6CF394B7E60}" type="presParOf" srcId="{02B46652-E828-47B9-AA92-4B28AF8C1692}" destId="{EDEF3024-FD1F-4F93-98C3-080C8A0FC819}" srcOrd="0" destOrd="0" presId="urn:microsoft.com/office/officeart/2005/8/layout/hList1"/>
    <dgm:cxn modelId="{A31A16BE-C47A-4CDB-A7FF-08F2DFD971D6}" type="presParOf" srcId="{02B46652-E828-47B9-AA92-4B28AF8C1692}" destId="{F41FD565-0DD5-41FA-BF8D-078A18C8DF09}" srcOrd="1" destOrd="0" presId="urn:microsoft.com/office/officeart/2005/8/layout/hList1"/>
    <dgm:cxn modelId="{2F10247F-F0F5-4B43-B79F-90428679BCBB}" type="presParOf" srcId="{2AD37DA9-A0C8-464C-A575-D17C9D236BC4}" destId="{5CB950B7-F30E-42E5-8603-ABF8D5B97691}" srcOrd="1" destOrd="0" presId="urn:microsoft.com/office/officeart/2005/8/layout/hList1"/>
    <dgm:cxn modelId="{9D97E709-0A9D-4CA4-9796-9A0ED308C9FF}" type="presParOf" srcId="{2AD37DA9-A0C8-464C-A575-D17C9D236BC4}" destId="{4A3A8FCB-2B6E-4593-8065-44BE25D3D4AE}" srcOrd="2" destOrd="0" presId="urn:microsoft.com/office/officeart/2005/8/layout/hList1"/>
    <dgm:cxn modelId="{DD6AE701-EDA1-4BCF-83FA-461DEF65C675}" type="presParOf" srcId="{4A3A8FCB-2B6E-4593-8065-44BE25D3D4AE}" destId="{3B607B61-FF07-4CA5-A724-5D16BF211C99}" srcOrd="0" destOrd="0" presId="urn:microsoft.com/office/officeart/2005/8/layout/hList1"/>
    <dgm:cxn modelId="{6C501526-DBE3-4BDD-A3FF-28C4E126AD14}" type="presParOf" srcId="{4A3A8FCB-2B6E-4593-8065-44BE25D3D4AE}" destId="{70E0ACF9-DBDC-4E93-8FFF-AB5C80E4CA3F}" srcOrd="1" destOrd="0" presId="urn:microsoft.com/office/officeart/2005/8/layout/hList1"/>
    <dgm:cxn modelId="{9D5ADC97-3723-496A-819A-E9BCB52285FD}" type="presParOf" srcId="{2AD37DA9-A0C8-464C-A575-D17C9D236BC4}" destId="{672C71E0-9A3F-43F8-9B45-262AEAAECDE0}" srcOrd="3" destOrd="0" presId="urn:microsoft.com/office/officeart/2005/8/layout/hList1"/>
    <dgm:cxn modelId="{5855A53D-F57B-4E7B-8184-D8D3BAECD046}" type="presParOf" srcId="{2AD37DA9-A0C8-464C-A575-D17C9D236BC4}" destId="{2157F31D-C2D5-4379-ACC0-4AA0F89C9198}" srcOrd="4" destOrd="0" presId="urn:microsoft.com/office/officeart/2005/8/layout/hList1"/>
    <dgm:cxn modelId="{5C0B947E-580C-446D-8859-275287779992}" type="presParOf" srcId="{2157F31D-C2D5-4379-ACC0-4AA0F89C9198}" destId="{B9AEF5F4-AD6A-4740-823C-B789CDE58D5B}" srcOrd="0" destOrd="0" presId="urn:microsoft.com/office/officeart/2005/8/layout/hList1"/>
    <dgm:cxn modelId="{27688A90-95BA-4D30-9E36-ADCCC34760EA}" type="presParOf" srcId="{2157F31D-C2D5-4379-ACC0-4AA0F89C9198}" destId="{CEE7849F-A0B7-4559-9CDF-74326CAAC143}" srcOrd="1" destOrd="0" presId="urn:microsoft.com/office/officeart/2005/8/layout/hList1"/>
    <dgm:cxn modelId="{80A7CDF8-C05E-400A-A40C-6B53FE441BCF}" type="presParOf" srcId="{2AD37DA9-A0C8-464C-A575-D17C9D236BC4}" destId="{160E7A6E-C7BC-497A-AA9D-67D67E9A363E}" srcOrd="5" destOrd="0" presId="urn:microsoft.com/office/officeart/2005/8/layout/hList1"/>
    <dgm:cxn modelId="{F27E305C-8BE1-4AFA-BD2F-563EE5051479}" type="presParOf" srcId="{2AD37DA9-A0C8-464C-A575-D17C9D236BC4}" destId="{067CF33C-C0B1-4497-A877-9E74A983F17B}" srcOrd="6" destOrd="0" presId="urn:microsoft.com/office/officeart/2005/8/layout/hList1"/>
    <dgm:cxn modelId="{3BBF379C-CA77-4BD4-819E-D064B2FA8381}" type="presParOf" srcId="{067CF33C-C0B1-4497-A877-9E74A983F17B}" destId="{2FF02E46-2E54-4794-AF26-032CD8BA6FE9}" srcOrd="0" destOrd="0" presId="urn:microsoft.com/office/officeart/2005/8/layout/hList1"/>
    <dgm:cxn modelId="{B36029EC-45D9-41E4-BD9A-5DD98D4A03C8}" type="presParOf" srcId="{067CF33C-C0B1-4497-A877-9E74A983F17B}" destId="{D6FAD473-26A9-4513-8434-D85D4533D04A}"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8EF9CD92-0ECD-420C-9FD3-FA6E9A5FF382}" type="doc">
      <dgm:prSet loTypeId="urn:microsoft.com/office/officeart/2005/8/layout/process1" loCatId="process" qsTypeId="urn:microsoft.com/office/officeart/2005/8/quickstyle/simple1" qsCatId="simple" csTypeId="urn:microsoft.com/office/officeart/2005/8/colors/accent1_1" csCatId="accent1" phldr="1"/>
      <dgm:spPr/>
    </dgm:pt>
    <dgm:pt modelId="{49B9293E-2C43-4B3B-890B-216D3AA3725A}">
      <dgm:prSet phldrT="[Szöveg]"/>
      <dgm:spPr/>
      <dgm:t>
        <a:bodyPr/>
        <a:lstStyle/>
        <a:p>
          <a:r>
            <a:rPr lang="hu-HU" b="1" dirty="0"/>
            <a:t>Probléma-felismerés</a:t>
          </a:r>
        </a:p>
      </dgm:t>
    </dgm:pt>
    <dgm:pt modelId="{7F0AD711-7BFB-4C93-8D1C-BDA4877DB585}" type="parTrans" cxnId="{A6592F63-1619-4AF4-A3B7-0D0060416B16}">
      <dgm:prSet/>
      <dgm:spPr/>
      <dgm:t>
        <a:bodyPr/>
        <a:lstStyle/>
        <a:p>
          <a:endParaRPr lang="hu-HU" b="1">
            <a:solidFill>
              <a:schemeClr val="tx1"/>
            </a:solidFill>
          </a:endParaRPr>
        </a:p>
      </dgm:t>
    </dgm:pt>
    <dgm:pt modelId="{1C5EA739-3C45-4B77-9EAE-0A71DA364A7E}" type="sibTrans" cxnId="{A6592F63-1619-4AF4-A3B7-0D0060416B16}">
      <dgm:prSet/>
      <dgm:spPr/>
      <dgm:t>
        <a:bodyPr/>
        <a:lstStyle/>
        <a:p>
          <a:endParaRPr lang="hu-HU" b="1">
            <a:solidFill>
              <a:schemeClr val="tx1"/>
            </a:solidFill>
          </a:endParaRPr>
        </a:p>
      </dgm:t>
    </dgm:pt>
    <dgm:pt modelId="{62ECBAF9-55F0-42A5-B7F1-171EAD43DF22}">
      <dgm:prSet phldrT="[Szöveg]"/>
      <dgm:spPr/>
      <dgm:t>
        <a:bodyPr/>
        <a:lstStyle/>
        <a:p>
          <a:r>
            <a:rPr lang="hu-HU" b="1" dirty="0"/>
            <a:t>Információ-keresés</a:t>
          </a:r>
        </a:p>
      </dgm:t>
    </dgm:pt>
    <dgm:pt modelId="{DDFE2699-0266-48C5-9131-427E078B420B}" type="parTrans" cxnId="{44C81060-7CE4-4121-BF33-9FB197379C5A}">
      <dgm:prSet/>
      <dgm:spPr/>
      <dgm:t>
        <a:bodyPr/>
        <a:lstStyle/>
        <a:p>
          <a:endParaRPr lang="hu-HU" b="1">
            <a:solidFill>
              <a:schemeClr val="tx1"/>
            </a:solidFill>
          </a:endParaRPr>
        </a:p>
      </dgm:t>
    </dgm:pt>
    <dgm:pt modelId="{E0CD0D14-5FFF-4FE3-B96C-7109C9FF7F6B}" type="sibTrans" cxnId="{44C81060-7CE4-4121-BF33-9FB197379C5A}">
      <dgm:prSet/>
      <dgm:spPr/>
      <dgm:t>
        <a:bodyPr/>
        <a:lstStyle/>
        <a:p>
          <a:endParaRPr lang="hu-HU" b="1">
            <a:solidFill>
              <a:schemeClr val="tx1"/>
            </a:solidFill>
          </a:endParaRPr>
        </a:p>
      </dgm:t>
    </dgm:pt>
    <dgm:pt modelId="{9E0DCA71-560C-408A-96CD-38B2C69BD62E}">
      <dgm:prSet phldrT="[Szöveg]"/>
      <dgm:spPr/>
      <dgm:t>
        <a:bodyPr/>
        <a:lstStyle/>
        <a:p>
          <a:r>
            <a:rPr lang="hu-HU" b="1" dirty="0"/>
            <a:t>Az alternatívák értékelése</a:t>
          </a:r>
        </a:p>
      </dgm:t>
    </dgm:pt>
    <dgm:pt modelId="{B941D50A-4436-44F5-A123-6184E696B39F}" type="parTrans" cxnId="{252AE471-C848-4274-9BB2-BD049A5C7BAE}">
      <dgm:prSet/>
      <dgm:spPr/>
      <dgm:t>
        <a:bodyPr/>
        <a:lstStyle/>
        <a:p>
          <a:endParaRPr lang="hu-HU" b="1">
            <a:solidFill>
              <a:schemeClr val="tx1"/>
            </a:solidFill>
          </a:endParaRPr>
        </a:p>
      </dgm:t>
    </dgm:pt>
    <dgm:pt modelId="{E835B97A-633B-4C0F-8DAF-5BC26F514804}" type="sibTrans" cxnId="{252AE471-C848-4274-9BB2-BD049A5C7BAE}">
      <dgm:prSet/>
      <dgm:spPr/>
      <dgm:t>
        <a:bodyPr/>
        <a:lstStyle/>
        <a:p>
          <a:endParaRPr lang="hu-HU" b="1">
            <a:solidFill>
              <a:schemeClr val="tx1"/>
            </a:solidFill>
          </a:endParaRPr>
        </a:p>
      </dgm:t>
    </dgm:pt>
    <dgm:pt modelId="{CC18AB36-7CB9-4E7F-AF38-4B727D8891C4}">
      <dgm:prSet phldrT="[Szöveg]"/>
      <dgm:spPr/>
      <dgm:t>
        <a:bodyPr/>
        <a:lstStyle/>
        <a:p>
          <a:r>
            <a:rPr lang="hu-HU" b="1" dirty="0"/>
            <a:t>Vásárlási döntés</a:t>
          </a:r>
        </a:p>
      </dgm:t>
    </dgm:pt>
    <dgm:pt modelId="{DB84F28F-9A03-4E0A-9AB9-13149DF83921}" type="parTrans" cxnId="{ECBEF5E9-21D6-4425-A992-5B38FE0758C7}">
      <dgm:prSet/>
      <dgm:spPr/>
      <dgm:t>
        <a:bodyPr/>
        <a:lstStyle/>
        <a:p>
          <a:endParaRPr lang="hu-HU" b="1">
            <a:solidFill>
              <a:schemeClr val="tx1"/>
            </a:solidFill>
          </a:endParaRPr>
        </a:p>
      </dgm:t>
    </dgm:pt>
    <dgm:pt modelId="{B471801B-1423-42AF-B32B-D20A7BF3780A}" type="sibTrans" cxnId="{ECBEF5E9-21D6-4425-A992-5B38FE0758C7}">
      <dgm:prSet/>
      <dgm:spPr/>
      <dgm:t>
        <a:bodyPr/>
        <a:lstStyle/>
        <a:p>
          <a:endParaRPr lang="hu-HU" b="1">
            <a:solidFill>
              <a:schemeClr val="tx1"/>
            </a:solidFill>
          </a:endParaRPr>
        </a:p>
      </dgm:t>
    </dgm:pt>
    <dgm:pt modelId="{152E8A46-C232-4903-9AC1-8F7BBFC2BB51}">
      <dgm:prSet phldrT="[Szöveg]"/>
      <dgm:spPr/>
      <dgm:t>
        <a:bodyPr/>
        <a:lstStyle/>
        <a:p>
          <a:r>
            <a:rPr lang="hu-HU" b="1" dirty="0"/>
            <a:t>Döntés utáni magatartás</a:t>
          </a:r>
        </a:p>
      </dgm:t>
    </dgm:pt>
    <dgm:pt modelId="{ED8C6D54-5F1D-4DC0-936D-6E230EA353BB}" type="parTrans" cxnId="{D8B29331-1F09-4B40-9249-08BE1BF64F4E}">
      <dgm:prSet/>
      <dgm:spPr/>
      <dgm:t>
        <a:bodyPr/>
        <a:lstStyle/>
        <a:p>
          <a:endParaRPr lang="hu-HU" b="1"/>
        </a:p>
      </dgm:t>
    </dgm:pt>
    <dgm:pt modelId="{2B10ABA1-E82A-4352-9BF3-7C3E15ABCD1D}" type="sibTrans" cxnId="{D8B29331-1F09-4B40-9249-08BE1BF64F4E}">
      <dgm:prSet/>
      <dgm:spPr/>
      <dgm:t>
        <a:bodyPr/>
        <a:lstStyle/>
        <a:p>
          <a:endParaRPr lang="hu-HU" b="1"/>
        </a:p>
      </dgm:t>
    </dgm:pt>
    <dgm:pt modelId="{CD67FD05-C811-44D9-9AF2-B63103674BAA}" type="pres">
      <dgm:prSet presAssocID="{8EF9CD92-0ECD-420C-9FD3-FA6E9A5FF382}" presName="Name0" presStyleCnt="0">
        <dgm:presLayoutVars>
          <dgm:dir/>
          <dgm:resizeHandles val="exact"/>
        </dgm:presLayoutVars>
      </dgm:prSet>
      <dgm:spPr/>
    </dgm:pt>
    <dgm:pt modelId="{B7E88694-B6B4-4BD4-AE82-99E9C54CAA33}" type="pres">
      <dgm:prSet presAssocID="{49B9293E-2C43-4B3B-890B-216D3AA3725A}" presName="node" presStyleLbl="node1" presStyleIdx="0" presStyleCnt="5">
        <dgm:presLayoutVars>
          <dgm:bulletEnabled val="1"/>
        </dgm:presLayoutVars>
      </dgm:prSet>
      <dgm:spPr/>
    </dgm:pt>
    <dgm:pt modelId="{5BCEB17B-7601-4C93-93BE-3F70D09872D3}" type="pres">
      <dgm:prSet presAssocID="{1C5EA739-3C45-4B77-9EAE-0A71DA364A7E}" presName="sibTrans" presStyleLbl="sibTrans2D1" presStyleIdx="0" presStyleCnt="4"/>
      <dgm:spPr/>
    </dgm:pt>
    <dgm:pt modelId="{4DD680FF-5D85-4C7A-BAB1-3C64D6175751}" type="pres">
      <dgm:prSet presAssocID="{1C5EA739-3C45-4B77-9EAE-0A71DA364A7E}" presName="connectorText" presStyleLbl="sibTrans2D1" presStyleIdx="0" presStyleCnt="4"/>
      <dgm:spPr/>
    </dgm:pt>
    <dgm:pt modelId="{E368F693-C60A-49D8-9425-F3A5324DB078}" type="pres">
      <dgm:prSet presAssocID="{62ECBAF9-55F0-42A5-B7F1-171EAD43DF22}" presName="node" presStyleLbl="node1" presStyleIdx="1" presStyleCnt="5">
        <dgm:presLayoutVars>
          <dgm:bulletEnabled val="1"/>
        </dgm:presLayoutVars>
      </dgm:prSet>
      <dgm:spPr/>
    </dgm:pt>
    <dgm:pt modelId="{2F28B54D-0DDC-4A5A-9F54-E60BC9985E57}" type="pres">
      <dgm:prSet presAssocID="{E0CD0D14-5FFF-4FE3-B96C-7109C9FF7F6B}" presName="sibTrans" presStyleLbl="sibTrans2D1" presStyleIdx="1" presStyleCnt="4"/>
      <dgm:spPr/>
    </dgm:pt>
    <dgm:pt modelId="{5D4084A4-E2A3-45FA-8E82-2D2F74D3D725}" type="pres">
      <dgm:prSet presAssocID="{E0CD0D14-5FFF-4FE3-B96C-7109C9FF7F6B}" presName="connectorText" presStyleLbl="sibTrans2D1" presStyleIdx="1" presStyleCnt="4"/>
      <dgm:spPr/>
    </dgm:pt>
    <dgm:pt modelId="{EAC9A047-DE35-422E-89F4-243663E9AAF6}" type="pres">
      <dgm:prSet presAssocID="{9E0DCA71-560C-408A-96CD-38B2C69BD62E}" presName="node" presStyleLbl="node1" presStyleIdx="2" presStyleCnt="5">
        <dgm:presLayoutVars>
          <dgm:bulletEnabled val="1"/>
        </dgm:presLayoutVars>
      </dgm:prSet>
      <dgm:spPr/>
    </dgm:pt>
    <dgm:pt modelId="{FC45A049-F400-4F5E-A571-F97980C08AE4}" type="pres">
      <dgm:prSet presAssocID="{E835B97A-633B-4C0F-8DAF-5BC26F514804}" presName="sibTrans" presStyleLbl="sibTrans2D1" presStyleIdx="2" presStyleCnt="4"/>
      <dgm:spPr/>
    </dgm:pt>
    <dgm:pt modelId="{D0E92807-7C6F-406A-A38E-B85DA2B26D50}" type="pres">
      <dgm:prSet presAssocID="{E835B97A-633B-4C0F-8DAF-5BC26F514804}" presName="connectorText" presStyleLbl="sibTrans2D1" presStyleIdx="2" presStyleCnt="4"/>
      <dgm:spPr/>
    </dgm:pt>
    <dgm:pt modelId="{CB22196B-4333-4E63-90F3-DBCF560148AB}" type="pres">
      <dgm:prSet presAssocID="{CC18AB36-7CB9-4E7F-AF38-4B727D8891C4}" presName="node" presStyleLbl="node1" presStyleIdx="3" presStyleCnt="5">
        <dgm:presLayoutVars>
          <dgm:bulletEnabled val="1"/>
        </dgm:presLayoutVars>
      </dgm:prSet>
      <dgm:spPr/>
    </dgm:pt>
    <dgm:pt modelId="{39CFA627-6079-4F8D-BFBE-6248399A1263}" type="pres">
      <dgm:prSet presAssocID="{B471801B-1423-42AF-B32B-D20A7BF3780A}" presName="sibTrans" presStyleLbl="sibTrans2D1" presStyleIdx="3" presStyleCnt="4"/>
      <dgm:spPr/>
    </dgm:pt>
    <dgm:pt modelId="{65D50F99-E97F-4981-A5DE-392483C3863A}" type="pres">
      <dgm:prSet presAssocID="{B471801B-1423-42AF-B32B-D20A7BF3780A}" presName="connectorText" presStyleLbl="sibTrans2D1" presStyleIdx="3" presStyleCnt="4"/>
      <dgm:spPr/>
    </dgm:pt>
    <dgm:pt modelId="{29972AA8-37AA-4E0B-A175-0805711933DA}" type="pres">
      <dgm:prSet presAssocID="{152E8A46-C232-4903-9AC1-8F7BBFC2BB51}" presName="node" presStyleLbl="node1" presStyleIdx="4" presStyleCnt="5">
        <dgm:presLayoutVars>
          <dgm:bulletEnabled val="1"/>
        </dgm:presLayoutVars>
      </dgm:prSet>
      <dgm:spPr/>
    </dgm:pt>
  </dgm:ptLst>
  <dgm:cxnLst>
    <dgm:cxn modelId="{E3382209-D399-4E8C-AC04-F2C85F419ECF}" type="presOf" srcId="{9E0DCA71-560C-408A-96CD-38B2C69BD62E}" destId="{EAC9A047-DE35-422E-89F4-243663E9AAF6}" srcOrd="0" destOrd="0" presId="urn:microsoft.com/office/officeart/2005/8/layout/process1"/>
    <dgm:cxn modelId="{E66F0820-D0F1-463F-9346-53DE4651D80F}" type="presOf" srcId="{152E8A46-C232-4903-9AC1-8F7BBFC2BB51}" destId="{29972AA8-37AA-4E0B-A175-0805711933DA}" srcOrd="0" destOrd="0" presId="urn:microsoft.com/office/officeart/2005/8/layout/process1"/>
    <dgm:cxn modelId="{F9FDB624-112B-486B-89DB-DBCA85675919}" type="presOf" srcId="{8EF9CD92-0ECD-420C-9FD3-FA6E9A5FF382}" destId="{CD67FD05-C811-44D9-9AF2-B63103674BAA}" srcOrd="0" destOrd="0" presId="urn:microsoft.com/office/officeart/2005/8/layout/process1"/>
    <dgm:cxn modelId="{D91FAE2F-B627-4136-8385-461232C452B4}" type="presOf" srcId="{E835B97A-633B-4C0F-8DAF-5BC26F514804}" destId="{D0E92807-7C6F-406A-A38E-B85DA2B26D50}" srcOrd="1" destOrd="0" presId="urn:microsoft.com/office/officeart/2005/8/layout/process1"/>
    <dgm:cxn modelId="{D8B29331-1F09-4B40-9249-08BE1BF64F4E}" srcId="{8EF9CD92-0ECD-420C-9FD3-FA6E9A5FF382}" destId="{152E8A46-C232-4903-9AC1-8F7BBFC2BB51}" srcOrd="4" destOrd="0" parTransId="{ED8C6D54-5F1D-4DC0-936D-6E230EA353BB}" sibTransId="{2B10ABA1-E82A-4352-9BF3-7C3E15ABCD1D}"/>
    <dgm:cxn modelId="{58F9C05C-83AE-4004-B7D9-825C59665E77}" type="presOf" srcId="{B471801B-1423-42AF-B32B-D20A7BF3780A}" destId="{39CFA627-6079-4F8D-BFBE-6248399A1263}" srcOrd="0" destOrd="0" presId="urn:microsoft.com/office/officeart/2005/8/layout/process1"/>
    <dgm:cxn modelId="{44C81060-7CE4-4121-BF33-9FB197379C5A}" srcId="{8EF9CD92-0ECD-420C-9FD3-FA6E9A5FF382}" destId="{62ECBAF9-55F0-42A5-B7F1-171EAD43DF22}" srcOrd="1" destOrd="0" parTransId="{DDFE2699-0266-48C5-9131-427E078B420B}" sibTransId="{E0CD0D14-5FFF-4FE3-B96C-7109C9FF7F6B}"/>
    <dgm:cxn modelId="{A6592F63-1619-4AF4-A3B7-0D0060416B16}" srcId="{8EF9CD92-0ECD-420C-9FD3-FA6E9A5FF382}" destId="{49B9293E-2C43-4B3B-890B-216D3AA3725A}" srcOrd="0" destOrd="0" parTransId="{7F0AD711-7BFB-4C93-8D1C-BDA4877DB585}" sibTransId="{1C5EA739-3C45-4B77-9EAE-0A71DA364A7E}"/>
    <dgm:cxn modelId="{A5B25C46-0FF9-46F2-B3C8-F52BE49D974B}" type="presOf" srcId="{1C5EA739-3C45-4B77-9EAE-0A71DA364A7E}" destId="{5BCEB17B-7601-4C93-93BE-3F70D09872D3}" srcOrd="0" destOrd="0" presId="urn:microsoft.com/office/officeart/2005/8/layout/process1"/>
    <dgm:cxn modelId="{C682F26B-8A32-4CFC-9C02-AE1D8640EF0C}" type="presOf" srcId="{62ECBAF9-55F0-42A5-B7F1-171EAD43DF22}" destId="{E368F693-C60A-49D8-9425-F3A5324DB078}" srcOrd="0" destOrd="0" presId="urn:microsoft.com/office/officeart/2005/8/layout/process1"/>
    <dgm:cxn modelId="{252AE471-C848-4274-9BB2-BD049A5C7BAE}" srcId="{8EF9CD92-0ECD-420C-9FD3-FA6E9A5FF382}" destId="{9E0DCA71-560C-408A-96CD-38B2C69BD62E}" srcOrd="2" destOrd="0" parTransId="{B941D50A-4436-44F5-A123-6184E696B39F}" sibTransId="{E835B97A-633B-4C0F-8DAF-5BC26F514804}"/>
    <dgm:cxn modelId="{0527028F-07AF-451F-BAE3-1CBE6C0A206F}" type="presOf" srcId="{E835B97A-633B-4C0F-8DAF-5BC26F514804}" destId="{FC45A049-F400-4F5E-A571-F97980C08AE4}" srcOrd="0" destOrd="0" presId="urn:microsoft.com/office/officeart/2005/8/layout/process1"/>
    <dgm:cxn modelId="{2536C4A4-7FD4-4829-8DD0-5DBA64EB8E3A}" type="presOf" srcId="{E0CD0D14-5FFF-4FE3-B96C-7109C9FF7F6B}" destId="{2F28B54D-0DDC-4A5A-9F54-E60BC9985E57}" srcOrd="0" destOrd="0" presId="urn:microsoft.com/office/officeart/2005/8/layout/process1"/>
    <dgm:cxn modelId="{669D27AA-3641-45CC-9B94-241E830698FE}" type="presOf" srcId="{49B9293E-2C43-4B3B-890B-216D3AA3725A}" destId="{B7E88694-B6B4-4BD4-AE82-99E9C54CAA33}" srcOrd="0" destOrd="0" presId="urn:microsoft.com/office/officeart/2005/8/layout/process1"/>
    <dgm:cxn modelId="{44EBE3C8-09E4-4EFE-A5C7-7AB7DB6FA4B4}" type="presOf" srcId="{CC18AB36-7CB9-4E7F-AF38-4B727D8891C4}" destId="{CB22196B-4333-4E63-90F3-DBCF560148AB}" srcOrd="0" destOrd="0" presId="urn:microsoft.com/office/officeart/2005/8/layout/process1"/>
    <dgm:cxn modelId="{8B92CFD6-3656-49C0-9A5C-3A861CC4D2BF}" type="presOf" srcId="{1C5EA739-3C45-4B77-9EAE-0A71DA364A7E}" destId="{4DD680FF-5D85-4C7A-BAB1-3C64D6175751}" srcOrd="1" destOrd="0" presId="urn:microsoft.com/office/officeart/2005/8/layout/process1"/>
    <dgm:cxn modelId="{B42610E3-0CBB-4EDB-9825-D8EDFBF91BFB}" type="presOf" srcId="{E0CD0D14-5FFF-4FE3-B96C-7109C9FF7F6B}" destId="{5D4084A4-E2A3-45FA-8E82-2D2F74D3D725}" srcOrd="1" destOrd="0" presId="urn:microsoft.com/office/officeart/2005/8/layout/process1"/>
    <dgm:cxn modelId="{ECBEF5E9-21D6-4425-A992-5B38FE0758C7}" srcId="{8EF9CD92-0ECD-420C-9FD3-FA6E9A5FF382}" destId="{CC18AB36-7CB9-4E7F-AF38-4B727D8891C4}" srcOrd="3" destOrd="0" parTransId="{DB84F28F-9A03-4E0A-9AB9-13149DF83921}" sibTransId="{B471801B-1423-42AF-B32B-D20A7BF3780A}"/>
    <dgm:cxn modelId="{C177B8F3-98EA-40F6-B901-C5F27B46B34E}" type="presOf" srcId="{B471801B-1423-42AF-B32B-D20A7BF3780A}" destId="{65D50F99-E97F-4981-A5DE-392483C3863A}" srcOrd="1" destOrd="0" presId="urn:microsoft.com/office/officeart/2005/8/layout/process1"/>
    <dgm:cxn modelId="{5B1E8E42-D040-4A3C-BAEE-03046B931DC8}" type="presParOf" srcId="{CD67FD05-C811-44D9-9AF2-B63103674BAA}" destId="{B7E88694-B6B4-4BD4-AE82-99E9C54CAA33}" srcOrd="0" destOrd="0" presId="urn:microsoft.com/office/officeart/2005/8/layout/process1"/>
    <dgm:cxn modelId="{E7253531-FD71-4331-B630-9D928AFC1C15}" type="presParOf" srcId="{CD67FD05-C811-44D9-9AF2-B63103674BAA}" destId="{5BCEB17B-7601-4C93-93BE-3F70D09872D3}" srcOrd="1" destOrd="0" presId="urn:microsoft.com/office/officeart/2005/8/layout/process1"/>
    <dgm:cxn modelId="{53EA24EE-19DE-4B6B-A04E-333FA13E20FC}" type="presParOf" srcId="{5BCEB17B-7601-4C93-93BE-3F70D09872D3}" destId="{4DD680FF-5D85-4C7A-BAB1-3C64D6175751}" srcOrd="0" destOrd="0" presId="urn:microsoft.com/office/officeart/2005/8/layout/process1"/>
    <dgm:cxn modelId="{117B8F38-5EC0-4B0A-97A2-C85671E163A3}" type="presParOf" srcId="{CD67FD05-C811-44D9-9AF2-B63103674BAA}" destId="{E368F693-C60A-49D8-9425-F3A5324DB078}" srcOrd="2" destOrd="0" presId="urn:microsoft.com/office/officeart/2005/8/layout/process1"/>
    <dgm:cxn modelId="{BEA2963C-7B68-4324-9EA5-6D73D0524B94}" type="presParOf" srcId="{CD67FD05-C811-44D9-9AF2-B63103674BAA}" destId="{2F28B54D-0DDC-4A5A-9F54-E60BC9985E57}" srcOrd="3" destOrd="0" presId="urn:microsoft.com/office/officeart/2005/8/layout/process1"/>
    <dgm:cxn modelId="{07712AC9-713C-4E24-9003-BB23EFE1F969}" type="presParOf" srcId="{2F28B54D-0DDC-4A5A-9F54-E60BC9985E57}" destId="{5D4084A4-E2A3-45FA-8E82-2D2F74D3D725}" srcOrd="0" destOrd="0" presId="urn:microsoft.com/office/officeart/2005/8/layout/process1"/>
    <dgm:cxn modelId="{0099638B-0BD3-4543-83E7-D46D6369A07F}" type="presParOf" srcId="{CD67FD05-C811-44D9-9AF2-B63103674BAA}" destId="{EAC9A047-DE35-422E-89F4-243663E9AAF6}" srcOrd="4" destOrd="0" presId="urn:microsoft.com/office/officeart/2005/8/layout/process1"/>
    <dgm:cxn modelId="{32976779-EE1F-421F-8DCC-3D38AA59B57E}" type="presParOf" srcId="{CD67FD05-C811-44D9-9AF2-B63103674BAA}" destId="{FC45A049-F400-4F5E-A571-F97980C08AE4}" srcOrd="5" destOrd="0" presId="urn:microsoft.com/office/officeart/2005/8/layout/process1"/>
    <dgm:cxn modelId="{2CD2612A-761E-4EA0-A72C-07937B63EAD2}" type="presParOf" srcId="{FC45A049-F400-4F5E-A571-F97980C08AE4}" destId="{D0E92807-7C6F-406A-A38E-B85DA2B26D50}" srcOrd="0" destOrd="0" presId="urn:microsoft.com/office/officeart/2005/8/layout/process1"/>
    <dgm:cxn modelId="{7E66F792-2451-4A0A-AFA1-050C1189E23F}" type="presParOf" srcId="{CD67FD05-C811-44D9-9AF2-B63103674BAA}" destId="{CB22196B-4333-4E63-90F3-DBCF560148AB}" srcOrd="6" destOrd="0" presId="urn:microsoft.com/office/officeart/2005/8/layout/process1"/>
    <dgm:cxn modelId="{83240533-DAEC-42BE-8EC7-807B518A5874}" type="presParOf" srcId="{CD67FD05-C811-44D9-9AF2-B63103674BAA}" destId="{39CFA627-6079-4F8D-BFBE-6248399A1263}" srcOrd="7" destOrd="0" presId="urn:microsoft.com/office/officeart/2005/8/layout/process1"/>
    <dgm:cxn modelId="{4E75A08B-6B8E-49A1-8FF7-C698FA98F46F}" type="presParOf" srcId="{39CFA627-6079-4F8D-BFBE-6248399A1263}" destId="{65D50F99-E97F-4981-A5DE-392483C3863A}" srcOrd="0" destOrd="0" presId="urn:microsoft.com/office/officeart/2005/8/layout/process1"/>
    <dgm:cxn modelId="{4A8A7D8D-A94A-4B4D-AEE1-0726C446AC77}" type="presParOf" srcId="{CD67FD05-C811-44D9-9AF2-B63103674BAA}" destId="{29972AA8-37AA-4E0B-A175-0805711933DA}" srcOrd="8"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2D8BBC-7948-4E63-967F-FD34A39F2865}">
      <dsp:nvSpPr>
        <dsp:cNvPr id="0" name=""/>
        <dsp:cNvSpPr/>
      </dsp:nvSpPr>
      <dsp:spPr>
        <a:xfrm>
          <a:off x="5063" y="177788"/>
          <a:ext cx="1513314" cy="1120798"/>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kern="1200" dirty="0">
              <a:latin typeface="Times New Roman" panose="02020603050405020304" pitchFamily="18" charset="0"/>
              <a:cs typeface="Times New Roman" panose="02020603050405020304" pitchFamily="18" charset="0"/>
            </a:rPr>
            <a:t>A versenytársak </a:t>
          </a:r>
          <a:r>
            <a:rPr lang="hu-HU" sz="1200" b="1" kern="1200" dirty="0">
              <a:latin typeface="Times New Roman" panose="02020603050405020304" pitchFamily="18" charset="0"/>
              <a:cs typeface="Times New Roman" panose="02020603050405020304" pitchFamily="18" charset="0"/>
            </a:rPr>
            <a:t>azonosítása</a:t>
          </a:r>
        </a:p>
      </dsp:txBody>
      <dsp:txXfrm>
        <a:off x="37890" y="210615"/>
        <a:ext cx="1447660" cy="1055144"/>
      </dsp:txXfrm>
    </dsp:sp>
    <dsp:sp modelId="{FDC02DD3-D062-48BD-9407-D7F637599B3C}">
      <dsp:nvSpPr>
        <dsp:cNvPr id="0" name=""/>
        <dsp:cNvSpPr/>
      </dsp:nvSpPr>
      <dsp:spPr>
        <a:xfrm>
          <a:off x="1669708" y="550536"/>
          <a:ext cx="320822" cy="3753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hu-HU" sz="1200" kern="1200">
            <a:latin typeface="Times New Roman" panose="02020603050405020304" pitchFamily="18" charset="0"/>
            <a:cs typeface="Times New Roman" panose="02020603050405020304" pitchFamily="18" charset="0"/>
          </a:endParaRPr>
        </a:p>
      </dsp:txBody>
      <dsp:txXfrm>
        <a:off x="1669708" y="625596"/>
        <a:ext cx="224575" cy="225181"/>
      </dsp:txXfrm>
    </dsp:sp>
    <dsp:sp modelId="{EE6A51B4-2E77-4889-9E6A-6E618172B6ED}">
      <dsp:nvSpPr>
        <dsp:cNvPr id="0" name=""/>
        <dsp:cNvSpPr/>
      </dsp:nvSpPr>
      <dsp:spPr>
        <a:xfrm>
          <a:off x="2123702" y="177788"/>
          <a:ext cx="1513314" cy="1120798"/>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kern="1200" dirty="0">
              <a:latin typeface="Times New Roman" panose="02020603050405020304" pitchFamily="18" charset="0"/>
              <a:cs typeface="Times New Roman" panose="02020603050405020304" pitchFamily="18" charset="0"/>
            </a:rPr>
            <a:t>A versenytársak céljainak, stratégiáinak, erősségeinek, gyengeségeinek </a:t>
          </a:r>
          <a:r>
            <a:rPr lang="hu-HU" sz="1200" b="1" kern="1200" dirty="0">
              <a:latin typeface="Times New Roman" panose="02020603050405020304" pitchFamily="18" charset="0"/>
              <a:cs typeface="Times New Roman" panose="02020603050405020304" pitchFamily="18" charset="0"/>
            </a:rPr>
            <a:t>értékelése</a:t>
          </a:r>
        </a:p>
      </dsp:txBody>
      <dsp:txXfrm>
        <a:off x="2156529" y="210615"/>
        <a:ext cx="1447660" cy="1055144"/>
      </dsp:txXfrm>
    </dsp:sp>
    <dsp:sp modelId="{6E1C313F-D349-4521-8DE3-1F440659D7CA}">
      <dsp:nvSpPr>
        <dsp:cNvPr id="0" name=""/>
        <dsp:cNvSpPr/>
      </dsp:nvSpPr>
      <dsp:spPr>
        <a:xfrm>
          <a:off x="3788348" y="550536"/>
          <a:ext cx="320822" cy="37530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hu-HU" sz="1200" kern="1200">
            <a:latin typeface="Times New Roman" panose="02020603050405020304" pitchFamily="18" charset="0"/>
            <a:cs typeface="Times New Roman" panose="02020603050405020304" pitchFamily="18" charset="0"/>
          </a:endParaRPr>
        </a:p>
      </dsp:txBody>
      <dsp:txXfrm>
        <a:off x="3788348" y="625596"/>
        <a:ext cx="224575" cy="225181"/>
      </dsp:txXfrm>
    </dsp:sp>
    <dsp:sp modelId="{9F7C13CB-96E3-4B68-927A-EDFF78650868}">
      <dsp:nvSpPr>
        <dsp:cNvPr id="0" name=""/>
        <dsp:cNvSpPr/>
      </dsp:nvSpPr>
      <dsp:spPr>
        <a:xfrm>
          <a:off x="4242342" y="177788"/>
          <a:ext cx="1513314" cy="1120798"/>
        </a:xfrm>
        <a:prstGeom prst="roundRect">
          <a:avLst>
            <a:gd name="adj" fmla="val 10000"/>
          </a:avLst>
        </a:prstGeom>
        <a:solidFill>
          <a:schemeClr val="lt1">
            <a:hueOff val="0"/>
            <a:satOff val="0"/>
            <a:lumOff val="0"/>
            <a:alphaOff val="0"/>
          </a:schemeClr>
        </a:solidFill>
        <a:ln w="381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hu-HU" sz="1200" b="0" kern="1200" dirty="0">
              <a:latin typeface="Times New Roman" panose="02020603050405020304" pitchFamily="18" charset="0"/>
              <a:cs typeface="Times New Roman" panose="02020603050405020304" pitchFamily="18" charset="0"/>
            </a:rPr>
            <a:t>Azon versenytársak </a:t>
          </a:r>
          <a:r>
            <a:rPr lang="hu-HU" sz="1200" b="1" kern="1200" dirty="0">
              <a:latin typeface="Times New Roman" panose="02020603050405020304" pitchFamily="18" charset="0"/>
              <a:cs typeface="Times New Roman" panose="02020603050405020304" pitchFamily="18" charset="0"/>
            </a:rPr>
            <a:t>kiválasztása</a:t>
          </a:r>
          <a:r>
            <a:rPr lang="hu-HU" sz="1200" kern="1200" dirty="0">
              <a:latin typeface="Times New Roman" panose="02020603050405020304" pitchFamily="18" charset="0"/>
              <a:cs typeface="Times New Roman" panose="02020603050405020304" pitchFamily="18" charset="0"/>
            </a:rPr>
            <a:t>, amelyeket megtámadni, vagy elkerülni akar a cég</a:t>
          </a:r>
        </a:p>
      </dsp:txBody>
      <dsp:txXfrm>
        <a:off x="4275169" y="210615"/>
        <a:ext cx="1447660" cy="10551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F3024-FD1F-4F93-98C3-080C8A0FC819}">
      <dsp:nvSpPr>
        <dsp:cNvPr id="0" name=""/>
        <dsp:cNvSpPr/>
      </dsp:nvSpPr>
      <dsp:spPr>
        <a:xfrm>
          <a:off x="2165" y="623"/>
          <a:ext cx="1302350" cy="52094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0">
            <a:lnSpc>
              <a:spcPct val="90000"/>
            </a:lnSpc>
            <a:spcBef>
              <a:spcPct val="0"/>
            </a:spcBef>
            <a:spcAft>
              <a:spcPct val="35000"/>
            </a:spcAft>
            <a:buNone/>
          </a:pPr>
          <a:r>
            <a:rPr lang="hu-HU" sz="1100" b="0" kern="1200" dirty="0">
              <a:latin typeface="Times New Roman" panose="02020603050405020304" pitchFamily="18" charset="0"/>
              <a:cs typeface="Times New Roman" panose="02020603050405020304" pitchFamily="18" charset="0"/>
            </a:rPr>
            <a:t>A versenytársak céljai</a:t>
          </a:r>
          <a:endParaRPr lang="en-US" sz="1100" b="0" kern="1200" dirty="0">
            <a:latin typeface="Times New Roman" panose="02020603050405020304" pitchFamily="18" charset="0"/>
            <a:cs typeface="Times New Roman" panose="02020603050405020304" pitchFamily="18" charset="0"/>
          </a:endParaRPr>
        </a:p>
      </dsp:txBody>
      <dsp:txXfrm>
        <a:off x="2165" y="623"/>
        <a:ext cx="1302350" cy="520940"/>
      </dsp:txXfrm>
    </dsp:sp>
    <dsp:sp modelId="{F41FD565-0DD5-41FA-BF8D-078A18C8DF09}">
      <dsp:nvSpPr>
        <dsp:cNvPr id="0" name=""/>
        <dsp:cNvSpPr/>
      </dsp:nvSpPr>
      <dsp:spPr>
        <a:xfrm>
          <a:off x="2165" y="521564"/>
          <a:ext cx="1302350" cy="1537199"/>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rtl="0">
            <a:lnSpc>
              <a:spcPct val="90000"/>
            </a:lnSpc>
            <a:spcBef>
              <a:spcPct val="0"/>
            </a:spcBef>
            <a:spcAft>
              <a:spcPct val="15000"/>
            </a:spcAft>
            <a:buChar char="•"/>
          </a:pPr>
          <a:r>
            <a:rPr lang="hu-HU" sz="1100" b="0" kern="1200" dirty="0">
              <a:latin typeface="Times New Roman" panose="02020603050405020304" pitchFamily="18" charset="0"/>
              <a:cs typeface="Times New Roman" panose="02020603050405020304" pitchFamily="18" charset="0"/>
            </a:rPr>
            <a:t>Nyereségesség</a:t>
          </a:r>
          <a:endParaRPr lang="en-US" sz="1100" b="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hu-HU" sz="1100" b="0" kern="1200" dirty="0">
              <a:latin typeface="Times New Roman" panose="02020603050405020304" pitchFamily="18" charset="0"/>
              <a:cs typeface="Times New Roman" panose="02020603050405020304" pitchFamily="18" charset="0"/>
            </a:rPr>
            <a:t>Piaci részesedés növelése</a:t>
          </a:r>
          <a:endParaRPr lang="en-US" sz="1100" b="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en-US" sz="1100" b="0" kern="1200" dirty="0">
              <a:latin typeface="Times New Roman" panose="02020603050405020304" pitchFamily="18" charset="0"/>
              <a:cs typeface="Times New Roman" panose="02020603050405020304" pitchFamily="18" charset="0"/>
            </a:rPr>
            <a:t>Cash flow</a:t>
          </a:r>
        </a:p>
        <a:p>
          <a:pPr marL="57150" lvl="1" indent="-57150" algn="l" defTabSz="488950">
            <a:lnSpc>
              <a:spcPct val="90000"/>
            </a:lnSpc>
            <a:spcBef>
              <a:spcPct val="0"/>
            </a:spcBef>
            <a:spcAft>
              <a:spcPct val="15000"/>
            </a:spcAft>
            <a:buChar char="•"/>
          </a:pPr>
          <a:r>
            <a:rPr lang="hu-HU" sz="1100" b="0" kern="1200" dirty="0">
              <a:latin typeface="Times New Roman" panose="02020603050405020304" pitchFamily="18" charset="0"/>
              <a:cs typeface="Times New Roman" panose="02020603050405020304" pitchFamily="18" charset="0"/>
            </a:rPr>
            <a:t>Technológiai vezető szerep</a:t>
          </a:r>
          <a:endParaRPr lang="en-US" sz="1100" b="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hu-HU" sz="1100" b="0" kern="1200" dirty="0">
              <a:latin typeface="Times New Roman" panose="02020603050405020304" pitchFamily="18" charset="0"/>
              <a:cs typeface="Times New Roman" panose="02020603050405020304" pitchFamily="18" charset="0"/>
            </a:rPr>
            <a:t>Szolgáltatói vezető szerep</a:t>
          </a:r>
          <a:endParaRPr lang="en-US" sz="1100" b="0" kern="1200" dirty="0">
            <a:latin typeface="Times New Roman" panose="02020603050405020304" pitchFamily="18" charset="0"/>
            <a:cs typeface="Times New Roman" panose="02020603050405020304" pitchFamily="18" charset="0"/>
          </a:endParaRPr>
        </a:p>
      </dsp:txBody>
      <dsp:txXfrm>
        <a:off x="2165" y="521564"/>
        <a:ext cx="1302350" cy="1537199"/>
      </dsp:txXfrm>
    </dsp:sp>
    <dsp:sp modelId="{3B607B61-FF07-4CA5-A724-5D16BF211C99}">
      <dsp:nvSpPr>
        <dsp:cNvPr id="0" name=""/>
        <dsp:cNvSpPr/>
      </dsp:nvSpPr>
      <dsp:spPr>
        <a:xfrm>
          <a:off x="1486845" y="623"/>
          <a:ext cx="1302350" cy="52094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0">
            <a:lnSpc>
              <a:spcPct val="90000"/>
            </a:lnSpc>
            <a:spcBef>
              <a:spcPct val="0"/>
            </a:spcBef>
            <a:spcAft>
              <a:spcPct val="35000"/>
            </a:spcAft>
            <a:buNone/>
          </a:pPr>
          <a:r>
            <a:rPr lang="hu-HU" sz="1100" b="0" kern="1200" dirty="0">
              <a:latin typeface="Times New Roman" panose="02020603050405020304" pitchFamily="18" charset="0"/>
              <a:cs typeface="Times New Roman" panose="02020603050405020304" pitchFamily="18" charset="0"/>
            </a:rPr>
            <a:t>A versenytárs stratégiája</a:t>
          </a:r>
          <a:endParaRPr lang="en-US" sz="1100" b="0" kern="1200" dirty="0">
            <a:latin typeface="Times New Roman" panose="02020603050405020304" pitchFamily="18" charset="0"/>
            <a:cs typeface="Times New Roman" panose="02020603050405020304" pitchFamily="18" charset="0"/>
          </a:endParaRPr>
        </a:p>
      </dsp:txBody>
      <dsp:txXfrm>
        <a:off x="1486845" y="623"/>
        <a:ext cx="1302350" cy="520940"/>
      </dsp:txXfrm>
    </dsp:sp>
    <dsp:sp modelId="{70E0ACF9-DBDC-4E93-8FFF-AB5C80E4CA3F}">
      <dsp:nvSpPr>
        <dsp:cNvPr id="0" name=""/>
        <dsp:cNvSpPr/>
      </dsp:nvSpPr>
      <dsp:spPr>
        <a:xfrm>
          <a:off x="1486845" y="521564"/>
          <a:ext cx="1302350" cy="1537199"/>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rtl="0">
            <a:lnSpc>
              <a:spcPct val="90000"/>
            </a:lnSpc>
            <a:spcBef>
              <a:spcPct val="0"/>
            </a:spcBef>
            <a:spcAft>
              <a:spcPct val="15000"/>
            </a:spcAft>
            <a:buChar char="•"/>
          </a:pPr>
          <a:r>
            <a:rPr lang="hu-HU" sz="1100" b="0" kern="1200" dirty="0">
              <a:latin typeface="Times New Roman" panose="02020603050405020304" pitchFamily="18" charset="0"/>
              <a:cs typeface="Times New Roman" panose="02020603050405020304" pitchFamily="18" charset="0"/>
            </a:rPr>
            <a:t>A stratégiai csoportok nagyobb versenyt jelentenek</a:t>
          </a:r>
          <a:endParaRPr lang="en-US" sz="1100" b="0" kern="1200" dirty="0">
            <a:latin typeface="Times New Roman" panose="02020603050405020304" pitchFamily="18" charset="0"/>
            <a:cs typeface="Times New Roman" panose="02020603050405020304" pitchFamily="18" charset="0"/>
          </a:endParaRPr>
        </a:p>
      </dsp:txBody>
      <dsp:txXfrm>
        <a:off x="1486845" y="521564"/>
        <a:ext cx="1302350" cy="1537199"/>
      </dsp:txXfrm>
    </dsp:sp>
    <dsp:sp modelId="{B9AEF5F4-AD6A-4740-823C-B789CDE58D5B}">
      <dsp:nvSpPr>
        <dsp:cNvPr id="0" name=""/>
        <dsp:cNvSpPr/>
      </dsp:nvSpPr>
      <dsp:spPr>
        <a:xfrm>
          <a:off x="2971524" y="623"/>
          <a:ext cx="1302350" cy="52094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0">
            <a:lnSpc>
              <a:spcPct val="90000"/>
            </a:lnSpc>
            <a:spcBef>
              <a:spcPct val="0"/>
            </a:spcBef>
            <a:spcAft>
              <a:spcPct val="35000"/>
            </a:spcAft>
            <a:buNone/>
          </a:pPr>
          <a:r>
            <a:rPr lang="hu-HU" sz="1100" b="0" kern="1200" dirty="0">
              <a:latin typeface="Times New Roman" panose="02020603050405020304" pitchFamily="18" charset="0"/>
              <a:cs typeface="Times New Roman" panose="02020603050405020304" pitchFamily="18" charset="0"/>
            </a:rPr>
            <a:t>A versenytársak erősségei/ gyengeségei</a:t>
          </a:r>
        </a:p>
      </dsp:txBody>
      <dsp:txXfrm>
        <a:off x="2971524" y="623"/>
        <a:ext cx="1302350" cy="520940"/>
      </dsp:txXfrm>
    </dsp:sp>
    <dsp:sp modelId="{CEE7849F-A0B7-4559-9CDF-74326CAAC143}">
      <dsp:nvSpPr>
        <dsp:cNvPr id="0" name=""/>
        <dsp:cNvSpPr/>
      </dsp:nvSpPr>
      <dsp:spPr>
        <a:xfrm>
          <a:off x="2971524" y="521564"/>
          <a:ext cx="1302350" cy="1537199"/>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rtl="0">
            <a:lnSpc>
              <a:spcPct val="90000"/>
            </a:lnSpc>
            <a:spcBef>
              <a:spcPct val="0"/>
            </a:spcBef>
            <a:spcAft>
              <a:spcPct val="15000"/>
            </a:spcAft>
            <a:buChar char="•"/>
          </a:pPr>
          <a:r>
            <a:rPr lang="hu-HU" sz="1100" b="0" kern="1200" dirty="0">
              <a:latin typeface="Times New Roman" panose="02020603050405020304" pitchFamily="18" charset="0"/>
              <a:cs typeface="Times New Roman" panose="02020603050405020304" pitchFamily="18" charset="0"/>
            </a:rPr>
            <a:t>Mit csinálnak a versenytársak?</a:t>
          </a:r>
          <a:endParaRPr lang="en-US" sz="1100" b="0" kern="1200" dirty="0">
            <a:latin typeface="Times New Roman" panose="02020603050405020304" pitchFamily="18" charset="0"/>
            <a:cs typeface="Times New Roman" panose="02020603050405020304" pitchFamily="18" charset="0"/>
          </a:endParaRPr>
        </a:p>
        <a:p>
          <a:pPr marL="57150" lvl="1" indent="-57150" algn="l" defTabSz="488950" rtl="0">
            <a:lnSpc>
              <a:spcPct val="90000"/>
            </a:lnSpc>
            <a:spcBef>
              <a:spcPct val="0"/>
            </a:spcBef>
            <a:spcAft>
              <a:spcPct val="15000"/>
            </a:spcAft>
            <a:buChar char="•"/>
          </a:pPr>
          <a:r>
            <a:rPr lang="en-US" sz="1100" b="0" kern="1200" dirty="0">
              <a:latin typeface="Times New Roman" panose="02020603050405020304" pitchFamily="18" charset="0"/>
              <a:cs typeface="Times New Roman" panose="02020603050405020304" pitchFamily="18" charset="0"/>
            </a:rPr>
            <a:t>Benchmarking</a:t>
          </a:r>
        </a:p>
      </dsp:txBody>
      <dsp:txXfrm>
        <a:off x="2971524" y="521564"/>
        <a:ext cx="1302350" cy="1537199"/>
      </dsp:txXfrm>
    </dsp:sp>
    <dsp:sp modelId="{2FF02E46-2E54-4794-AF26-032CD8BA6FE9}">
      <dsp:nvSpPr>
        <dsp:cNvPr id="0" name=""/>
        <dsp:cNvSpPr/>
      </dsp:nvSpPr>
      <dsp:spPr>
        <a:xfrm>
          <a:off x="4456203" y="623"/>
          <a:ext cx="1302350" cy="52094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rtl="0">
            <a:lnSpc>
              <a:spcPct val="90000"/>
            </a:lnSpc>
            <a:spcBef>
              <a:spcPct val="0"/>
            </a:spcBef>
            <a:spcAft>
              <a:spcPct val="35000"/>
            </a:spcAft>
            <a:buNone/>
          </a:pPr>
          <a:r>
            <a:rPr lang="hu-HU" sz="1100" b="0" kern="1200" dirty="0">
              <a:latin typeface="Times New Roman" panose="02020603050405020304" pitchFamily="18" charset="0"/>
              <a:cs typeface="Times New Roman" panose="02020603050405020304" pitchFamily="18" charset="0"/>
            </a:rPr>
            <a:t>A versenytársak lépéseinek becslése</a:t>
          </a:r>
          <a:endParaRPr lang="en-US" sz="1100" b="0" kern="1200" dirty="0">
            <a:latin typeface="Times New Roman" panose="02020603050405020304" pitchFamily="18" charset="0"/>
            <a:cs typeface="Times New Roman" panose="02020603050405020304" pitchFamily="18" charset="0"/>
          </a:endParaRPr>
        </a:p>
      </dsp:txBody>
      <dsp:txXfrm>
        <a:off x="4456203" y="623"/>
        <a:ext cx="1302350" cy="520940"/>
      </dsp:txXfrm>
    </dsp:sp>
    <dsp:sp modelId="{D6FAD473-26A9-4513-8434-D85D4533D04A}">
      <dsp:nvSpPr>
        <dsp:cNvPr id="0" name=""/>
        <dsp:cNvSpPr/>
      </dsp:nvSpPr>
      <dsp:spPr>
        <a:xfrm>
          <a:off x="4456203" y="521564"/>
          <a:ext cx="1302350" cy="1537199"/>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rtl="0">
            <a:lnSpc>
              <a:spcPct val="90000"/>
            </a:lnSpc>
            <a:spcBef>
              <a:spcPct val="0"/>
            </a:spcBef>
            <a:spcAft>
              <a:spcPct val="15000"/>
            </a:spcAft>
            <a:buChar char="•"/>
          </a:pPr>
          <a:r>
            <a:rPr lang="hu-HU" sz="1100" b="0" kern="1200" dirty="0">
              <a:solidFill>
                <a:schemeClr val="tx1"/>
              </a:solidFill>
              <a:latin typeface="Times New Roman" panose="02020603050405020304" pitchFamily="18" charset="0"/>
              <a:cs typeface="Times New Roman" panose="02020603050405020304" pitchFamily="18" charset="0"/>
            </a:rPr>
            <a:t>Mit fognak tenni a versenytársak? </a:t>
          </a:r>
          <a:endParaRPr lang="en-US" sz="1100" b="0" kern="1200" dirty="0">
            <a:latin typeface="Times New Roman" panose="02020603050405020304" pitchFamily="18" charset="0"/>
            <a:cs typeface="Times New Roman" panose="02020603050405020304" pitchFamily="18" charset="0"/>
          </a:endParaRPr>
        </a:p>
      </dsp:txBody>
      <dsp:txXfrm>
        <a:off x="4456203" y="521564"/>
        <a:ext cx="1302350" cy="15371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88694-B6B4-4BD4-AE82-99E9C54CAA33}">
      <dsp:nvSpPr>
        <dsp:cNvPr id="0" name=""/>
        <dsp:cNvSpPr/>
      </dsp:nvSpPr>
      <dsp:spPr>
        <a:xfrm>
          <a:off x="2812" y="244860"/>
          <a:ext cx="871983" cy="5967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dirty="0"/>
            <a:t>Probléma-felismerés</a:t>
          </a:r>
        </a:p>
      </dsp:txBody>
      <dsp:txXfrm>
        <a:off x="20291" y="262339"/>
        <a:ext cx="837025" cy="561806"/>
      </dsp:txXfrm>
    </dsp:sp>
    <dsp:sp modelId="{5BCEB17B-7601-4C93-93BE-3F70D09872D3}">
      <dsp:nvSpPr>
        <dsp:cNvPr id="0" name=""/>
        <dsp:cNvSpPr/>
      </dsp:nvSpPr>
      <dsp:spPr>
        <a:xfrm>
          <a:off x="961995" y="435116"/>
          <a:ext cx="184860" cy="2162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b="1" kern="1200">
            <a:solidFill>
              <a:schemeClr val="tx1"/>
            </a:solidFill>
          </a:endParaRPr>
        </a:p>
      </dsp:txBody>
      <dsp:txXfrm>
        <a:off x="961995" y="478366"/>
        <a:ext cx="129402" cy="129752"/>
      </dsp:txXfrm>
    </dsp:sp>
    <dsp:sp modelId="{E368F693-C60A-49D8-9425-F3A5324DB078}">
      <dsp:nvSpPr>
        <dsp:cNvPr id="0" name=""/>
        <dsp:cNvSpPr/>
      </dsp:nvSpPr>
      <dsp:spPr>
        <a:xfrm>
          <a:off x="1223590" y="244860"/>
          <a:ext cx="871983" cy="5967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dirty="0"/>
            <a:t>Információ-keresés</a:t>
          </a:r>
        </a:p>
      </dsp:txBody>
      <dsp:txXfrm>
        <a:off x="1241069" y="262339"/>
        <a:ext cx="837025" cy="561806"/>
      </dsp:txXfrm>
    </dsp:sp>
    <dsp:sp modelId="{2F28B54D-0DDC-4A5A-9F54-E60BC9985E57}">
      <dsp:nvSpPr>
        <dsp:cNvPr id="0" name=""/>
        <dsp:cNvSpPr/>
      </dsp:nvSpPr>
      <dsp:spPr>
        <a:xfrm>
          <a:off x="2182772" y="435116"/>
          <a:ext cx="184860" cy="2162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b="1" kern="1200">
            <a:solidFill>
              <a:schemeClr val="tx1"/>
            </a:solidFill>
          </a:endParaRPr>
        </a:p>
      </dsp:txBody>
      <dsp:txXfrm>
        <a:off x="2182772" y="478366"/>
        <a:ext cx="129402" cy="129752"/>
      </dsp:txXfrm>
    </dsp:sp>
    <dsp:sp modelId="{EAC9A047-DE35-422E-89F4-243663E9AAF6}">
      <dsp:nvSpPr>
        <dsp:cNvPr id="0" name=""/>
        <dsp:cNvSpPr/>
      </dsp:nvSpPr>
      <dsp:spPr>
        <a:xfrm>
          <a:off x="2444368" y="244860"/>
          <a:ext cx="871983" cy="5967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dirty="0"/>
            <a:t>Az alternatívák értékelése</a:t>
          </a:r>
        </a:p>
      </dsp:txBody>
      <dsp:txXfrm>
        <a:off x="2461847" y="262339"/>
        <a:ext cx="837025" cy="561806"/>
      </dsp:txXfrm>
    </dsp:sp>
    <dsp:sp modelId="{FC45A049-F400-4F5E-A571-F97980C08AE4}">
      <dsp:nvSpPr>
        <dsp:cNvPr id="0" name=""/>
        <dsp:cNvSpPr/>
      </dsp:nvSpPr>
      <dsp:spPr>
        <a:xfrm>
          <a:off x="3403550" y="435116"/>
          <a:ext cx="184860" cy="2162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b="1" kern="1200">
            <a:solidFill>
              <a:schemeClr val="tx1"/>
            </a:solidFill>
          </a:endParaRPr>
        </a:p>
      </dsp:txBody>
      <dsp:txXfrm>
        <a:off x="3403550" y="478366"/>
        <a:ext cx="129402" cy="129752"/>
      </dsp:txXfrm>
    </dsp:sp>
    <dsp:sp modelId="{CB22196B-4333-4E63-90F3-DBCF560148AB}">
      <dsp:nvSpPr>
        <dsp:cNvPr id="0" name=""/>
        <dsp:cNvSpPr/>
      </dsp:nvSpPr>
      <dsp:spPr>
        <a:xfrm>
          <a:off x="3665145" y="244860"/>
          <a:ext cx="871983" cy="5967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dirty="0"/>
            <a:t>Vásárlási döntés</a:t>
          </a:r>
        </a:p>
      </dsp:txBody>
      <dsp:txXfrm>
        <a:off x="3682624" y="262339"/>
        <a:ext cx="837025" cy="561806"/>
      </dsp:txXfrm>
    </dsp:sp>
    <dsp:sp modelId="{39CFA627-6079-4F8D-BFBE-6248399A1263}">
      <dsp:nvSpPr>
        <dsp:cNvPr id="0" name=""/>
        <dsp:cNvSpPr/>
      </dsp:nvSpPr>
      <dsp:spPr>
        <a:xfrm>
          <a:off x="4624327" y="435116"/>
          <a:ext cx="184860" cy="2162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hu-HU" sz="900" b="1" kern="1200">
            <a:solidFill>
              <a:schemeClr val="tx1"/>
            </a:solidFill>
          </a:endParaRPr>
        </a:p>
      </dsp:txBody>
      <dsp:txXfrm>
        <a:off x="4624327" y="478366"/>
        <a:ext cx="129402" cy="129752"/>
      </dsp:txXfrm>
    </dsp:sp>
    <dsp:sp modelId="{29972AA8-37AA-4E0B-A175-0805711933DA}">
      <dsp:nvSpPr>
        <dsp:cNvPr id="0" name=""/>
        <dsp:cNvSpPr/>
      </dsp:nvSpPr>
      <dsp:spPr>
        <a:xfrm>
          <a:off x="4885923" y="244860"/>
          <a:ext cx="871983" cy="59676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u-HU" sz="1100" b="1" kern="1200" dirty="0"/>
            <a:t>Döntés utáni magatartás</a:t>
          </a:r>
        </a:p>
      </dsp:txBody>
      <dsp:txXfrm>
        <a:off x="4903402" y="262339"/>
        <a:ext cx="837025" cy="5618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3B0BF-A17E-425D-9995-C24A68401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45114</Words>
  <Characters>311288</Characters>
  <Application>Microsoft Office Word</Application>
  <DocSecurity>0</DocSecurity>
  <Lines>2594</Lines>
  <Paragraphs>711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Hlédik</dc:creator>
  <cp:keywords/>
  <dc:description/>
  <cp:lastModifiedBy>Gabriella Lamanda</cp:lastModifiedBy>
  <cp:revision>2</cp:revision>
  <cp:lastPrinted>2023-09-26T17:35:00Z</cp:lastPrinted>
  <dcterms:created xsi:type="dcterms:W3CDTF">2025-01-10T12:18:00Z</dcterms:created>
  <dcterms:modified xsi:type="dcterms:W3CDTF">2025-01-10T12:18:00Z</dcterms:modified>
</cp:coreProperties>
</file>